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06F9C">
      <w:pPr>
        <w:spacing w:line="480" w:lineRule="auto"/>
        <w:jc w:val="right"/>
        <w:rPr>
          <w:rFonts w:hint="eastAsia" w:ascii="宋体" w:hAnsi="宋体" w:eastAsia="宋体" w:cs="宋体"/>
          <w:b/>
          <w:bCs/>
          <w:color w:val="auto"/>
          <w:sz w:val="36"/>
          <w:szCs w:val="36"/>
          <w:highlight w:val="none"/>
          <w:lang w:val="en-US" w:eastAsia="zh-CN"/>
        </w:rPr>
      </w:pPr>
      <w:bookmarkStart w:id="329" w:name="_GoBack"/>
      <w:bookmarkEnd w:id="329"/>
    </w:p>
    <w:p w14:paraId="1321F7AA">
      <w:pPr>
        <w:spacing w:line="720" w:lineRule="auto"/>
        <w:jc w:val="center"/>
        <w:outlineLvl w:val="0"/>
        <w:rPr>
          <w:rFonts w:hint="eastAsia" w:ascii="宋体" w:hAnsi="宋体" w:eastAsia="宋体"/>
          <w:b/>
          <w:color w:val="auto"/>
          <w:sz w:val="28"/>
          <w:szCs w:val="28"/>
          <w:highlight w:val="none"/>
          <w:lang w:eastAsia="zh-CN"/>
        </w:rPr>
      </w:pPr>
      <w:r>
        <w:rPr>
          <w:rFonts w:hint="eastAsia" w:ascii="宋体" w:hAnsi="宋体" w:cs="宋体"/>
          <w:b/>
          <w:bCs/>
          <w:color w:val="auto"/>
          <w:sz w:val="52"/>
          <w:szCs w:val="52"/>
          <w:highlight w:val="none"/>
          <w:lang w:eastAsia="zh-CN"/>
        </w:rPr>
        <w:t>灵宝市“十五五”规划编制项目</w:t>
      </w:r>
    </w:p>
    <w:p w14:paraId="4F047C30">
      <w:pPr>
        <w:jc w:val="center"/>
        <w:rPr>
          <w:rFonts w:ascii="宋体" w:hAnsi="宋体"/>
          <w:b/>
          <w:color w:val="auto"/>
          <w:sz w:val="44"/>
          <w:szCs w:val="44"/>
          <w:highlight w:val="none"/>
        </w:rPr>
      </w:pPr>
    </w:p>
    <w:p w14:paraId="4BD80712">
      <w:pPr>
        <w:pStyle w:val="2"/>
        <w:rPr>
          <w:rFonts w:hint="eastAsia"/>
          <w:highlight w:val="none"/>
        </w:rPr>
      </w:pPr>
      <w:bookmarkStart w:id="0" w:name="_Toc24118"/>
      <w:bookmarkStart w:id="1" w:name="_Toc7595"/>
    </w:p>
    <w:p w14:paraId="76BED63C">
      <w:pPr>
        <w:jc w:val="center"/>
        <w:outlineLvl w:val="0"/>
        <w:rPr>
          <w:rFonts w:ascii="宋体" w:hAnsi="宋体" w:cs="宋体"/>
          <w:color w:val="auto"/>
          <w:sz w:val="28"/>
          <w:szCs w:val="28"/>
          <w:highlight w:val="none"/>
        </w:rPr>
      </w:pPr>
      <w:bookmarkStart w:id="2" w:name="_Toc1088"/>
      <w:bookmarkStart w:id="3" w:name="_Toc18516"/>
      <w:r>
        <w:rPr>
          <w:rFonts w:hint="eastAsia" w:ascii="宋体" w:hAnsi="宋体"/>
          <w:b/>
          <w:color w:val="auto"/>
          <w:sz w:val="72"/>
          <w:szCs w:val="72"/>
          <w:highlight w:val="none"/>
        </w:rPr>
        <w:t>竞争性磋商文件</w:t>
      </w:r>
      <w:bookmarkEnd w:id="0"/>
      <w:bookmarkEnd w:id="1"/>
      <w:bookmarkEnd w:id="2"/>
      <w:bookmarkEnd w:id="3"/>
    </w:p>
    <w:p w14:paraId="59F5934C">
      <w:pPr>
        <w:spacing w:line="540" w:lineRule="exact"/>
        <w:jc w:val="center"/>
        <w:rPr>
          <w:rFonts w:hint="eastAsia" w:eastAsia="宋体"/>
          <w:color w:val="auto"/>
          <w:sz w:val="20"/>
          <w:szCs w:val="21"/>
          <w:highlight w:val="none"/>
          <w:lang w:val="en-US" w:eastAsia="zh-CN"/>
        </w:rPr>
      </w:pPr>
      <w:r>
        <w:rPr>
          <w:rFonts w:hint="eastAsia" w:ascii="宋体" w:hAnsi="宋体" w:eastAsia="宋体" w:cs="宋体"/>
          <w:color w:val="auto"/>
          <w:sz w:val="24"/>
          <w:szCs w:val="24"/>
          <w:highlight w:val="none"/>
        </w:rPr>
        <w:t>采购项目编号：灵宝竞磋采购-2025-44</w:t>
      </w:r>
      <w:r>
        <w:rPr>
          <w:rFonts w:hint="eastAsia" w:ascii="宋体" w:hAnsi="宋体" w:cs="宋体"/>
          <w:color w:val="auto"/>
          <w:sz w:val="24"/>
          <w:szCs w:val="24"/>
          <w:highlight w:val="none"/>
          <w:lang w:eastAsia="zh-CN"/>
        </w:rPr>
        <w:t>、LBGZ[2025]100-ZC069</w:t>
      </w:r>
    </w:p>
    <w:p w14:paraId="2FA00865">
      <w:pPr>
        <w:spacing w:line="360" w:lineRule="auto"/>
        <w:jc w:val="center"/>
        <w:rPr>
          <w:rFonts w:hint="eastAsia" w:eastAsia="宋体"/>
          <w:color w:val="auto"/>
          <w:highlight w:val="none"/>
          <w:lang w:val="en-US" w:eastAsia="zh-CN"/>
        </w:rPr>
      </w:pPr>
    </w:p>
    <w:p w14:paraId="153C1816">
      <w:pPr>
        <w:spacing w:line="360" w:lineRule="auto"/>
        <w:jc w:val="center"/>
        <w:rPr>
          <w:rFonts w:hint="eastAsia" w:ascii="宋体" w:hAnsi="宋体" w:cs="宋体"/>
          <w:color w:val="auto"/>
          <w:sz w:val="30"/>
          <w:szCs w:val="30"/>
          <w:highlight w:val="none"/>
        </w:rPr>
      </w:pPr>
      <w:r>
        <w:rPr>
          <w:rFonts w:hint="eastAsia" w:ascii="宋体" w:hAnsi="宋体" w:eastAsia="宋体" w:cs="宋体"/>
          <w:b/>
          <w:sz w:val="32"/>
          <w:szCs w:val="32"/>
          <w:highlight w:val="none"/>
          <w:lang w:eastAsia="zh-CN"/>
        </w:rPr>
        <w:drawing>
          <wp:anchor distT="0" distB="0" distL="114300" distR="114300" simplePos="0" relativeHeight="251659264" behindDoc="1" locked="0" layoutInCell="1" allowOverlap="1">
            <wp:simplePos x="0" y="0"/>
            <wp:positionH relativeFrom="column">
              <wp:posOffset>1621155</wp:posOffset>
            </wp:positionH>
            <wp:positionV relativeFrom="paragraph">
              <wp:posOffset>177165</wp:posOffset>
            </wp:positionV>
            <wp:extent cx="2474595" cy="2468880"/>
            <wp:effectExtent l="0" t="0" r="1905" b="7620"/>
            <wp:wrapNone/>
            <wp:docPr id="1" name="图片 2" descr="94071e0c0f5fa67400142b89049ff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4071e0c0f5fa67400142b89049ff54"/>
                    <pic:cNvPicPr>
                      <a:picLocks noChangeAspect="1"/>
                    </pic:cNvPicPr>
                  </pic:nvPicPr>
                  <pic:blipFill>
                    <a:blip r:embed="rId12"/>
                    <a:stretch>
                      <a:fillRect/>
                    </a:stretch>
                  </pic:blipFill>
                  <pic:spPr>
                    <a:xfrm>
                      <a:off x="0" y="0"/>
                      <a:ext cx="2474595" cy="2468880"/>
                    </a:xfrm>
                    <a:prstGeom prst="rect">
                      <a:avLst/>
                    </a:prstGeom>
                    <a:noFill/>
                    <a:ln>
                      <a:noFill/>
                    </a:ln>
                  </pic:spPr>
                </pic:pic>
              </a:graphicData>
            </a:graphic>
          </wp:anchor>
        </w:drawing>
      </w:r>
    </w:p>
    <w:p w14:paraId="0A91A43D">
      <w:pPr>
        <w:spacing w:line="360" w:lineRule="auto"/>
        <w:ind w:firstLine="900" w:firstLineChars="300"/>
        <w:rPr>
          <w:rFonts w:hint="eastAsia" w:ascii="宋体" w:hAnsi="宋体" w:cs="宋体"/>
          <w:color w:val="auto"/>
          <w:sz w:val="30"/>
          <w:szCs w:val="30"/>
          <w:highlight w:val="none"/>
        </w:rPr>
      </w:pPr>
    </w:p>
    <w:p w14:paraId="417C82CA">
      <w:pPr>
        <w:pStyle w:val="11"/>
        <w:ind w:left="0" w:leftChars="0" w:firstLine="0" w:firstLineChars="0"/>
        <w:rPr>
          <w:rFonts w:hint="eastAsia" w:ascii="宋体" w:hAnsi="宋体" w:cs="宋体"/>
          <w:color w:val="auto"/>
          <w:sz w:val="30"/>
          <w:szCs w:val="30"/>
          <w:highlight w:val="none"/>
        </w:rPr>
      </w:pPr>
    </w:p>
    <w:p w14:paraId="5E9AB68A">
      <w:pPr>
        <w:pStyle w:val="11"/>
        <w:rPr>
          <w:rFonts w:hint="eastAsia" w:ascii="宋体" w:hAnsi="宋体" w:cs="宋体"/>
          <w:color w:val="auto"/>
          <w:sz w:val="30"/>
          <w:szCs w:val="30"/>
          <w:highlight w:val="none"/>
        </w:rPr>
      </w:pPr>
    </w:p>
    <w:p w14:paraId="442407C5">
      <w:pPr>
        <w:pStyle w:val="11"/>
        <w:rPr>
          <w:rFonts w:hint="eastAsia" w:ascii="宋体" w:hAnsi="宋体" w:cs="宋体"/>
          <w:color w:val="auto"/>
          <w:sz w:val="30"/>
          <w:szCs w:val="30"/>
          <w:highlight w:val="none"/>
        </w:rPr>
      </w:pPr>
    </w:p>
    <w:p w14:paraId="43EA4A24">
      <w:pPr>
        <w:pStyle w:val="11"/>
        <w:rPr>
          <w:rFonts w:hint="eastAsia" w:ascii="宋体" w:hAnsi="宋体" w:cs="宋体"/>
          <w:color w:val="auto"/>
          <w:sz w:val="30"/>
          <w:szCs w:val="30"/>
          <w:highlight w:val="none"/>
        </w:rPr>
      </w:pPr>
    </w:p>
    <w:p w14:paraId="2476819B">
      <w:pPr>
        <w:pStyle w:val="11"/>
        <w:ind w:left="0" w:leftChars="0" w:firstLine="0" w:firstLineChars="0"/>
        <w:rPr>
          <w:rFonts w:hint="eastAsia" w:ascii="宋体" w:hAnsi="宋体" w:cs="宋体"/>
          <w:color w:val="auto"/>
          <w:sz w:val="30"/>
          <w:szCs w:val="30"/>
          <w:highlight w:val="none"/>
        </w:rPr>
      </w:pPr>
    </w:p>
    <w:p w14:paraId="73B360A9">
      <w:pPr>
        <w:spacing w:line="360" w:lineRule="auto"/>
        <w:ind w:firstLine="2100" w:firstLineChars="700"/>
        <w:rPr>
          <w:rFonts w:hint="eastAsia" w:ascii="宋体" w:hAnsi="宋体" w:cs="宋体"/>
          <w:color w:val="auto"/>
          <w:sz w:val="30"/>
          <w:szCs w:val="30"/>
          <w:highlight w:val="none"/>
        </w:rPr>
      </w:pPr>
    </w:p>
    <w:p w14:paraId="02E9DC13">
      <w:pPr>
        <w:spacing w:line="360" w:lineRule="auto"/>
        <w:ind w:firstLine="2100" w:firstLineChars="700"/>
        <w:rPr>
          <w:rFonts w:hint="eastAsia" w:ascii="宋体" w:hAnsi="宋体" w:cs="宋体"/>
          <w:color w:val="auto"/>
          <w:sz w:val="30"/>
          <w:szCs w:val="30"/>
          <w:highlight w:val="none"/>
        </w:rPr>
      </w:pPr>
    </w:p>
    <w:p w14:paraId="7C897B1B">
      <w:pPr>
        <w:spacing w:line="360" w:lineRule="auto"/>
        <w:ind w:firstLine="2100" w:firstLineChars="700"/>
        <w:rPr>
          <w:rFonts w:hint="eastAsia" w:ascii="宋体" w:hAnsi="宋体" w:eastAsia="宋体" w:cs="宋体"/>
          <w:color w:val="auto"/>
          <w:spacing w:val="10"/>
          <w:sz w:val="30"/>
          <w:szCs w:val="30"/>
          <w:highlight w:val="none"/>
          <w:lang w:eastAsia="zh-CN"/>
        </w:rPr>
      </w:pPr>
      <w:r>
        <w:rPr>
          <w:rFonts w:hint="eastAsia" w:ascii="宋体" w:hAnsi="宋体" w:cs="宋体"/>
          <w:color w:val="auto"/>
          <w:sz w:val="30"/>
          <w:szCs w:val="30"/>
          <w:highlight w:val="none"/>
          <w:lang w:val="en-US" w:eastAsia="zh-CN"/>
        </w:rPr>
        <w:t>采 购 人</w:t>
      </w:r>
      <w:r>
        <w:rPr>
          <w:rFonts w:hint="eastAsia" w:ascii="宋体" w:hAnsi="宋体" w:cs="宋体"/>
          <w:color w:val="auto"/>
          <w:sz w:val="30"/>
          <w:szCs w:val="30"/>
          <w:highlight w:val="none"/>
        </w:rPr>
        <w:t>：</w:t>
      </w:r>
      <w:r>
        <w:rPr>
          <w:rFonts w:hint="eastAsia" w:ascii="宋体" w:hAnsi="宋体" w:cs="宋体"/>
          <w:color w:val="auto"/>
          <w:sz w:val="30"/>
          <w:szCs w:val="30"/>
          <w:highlight w:val="none"/>
          <w:lang w:eastAsia="zh-CN"/>
        </w:rPr>
        <w:t>灵宝市发展和改革委员会</w:t>
      </w:r>
    </w:p>
    <w:p w14:paraId="4BCC6583">
      <w:pPr>
        <w:spacing w:line="360" w:lineRule="auto"/>
        <w:ind w:firstLine="2100" w:firstLineChars="700"/>
        <w:rPr>
          <w:rFonts w:hint="eastAsia" w:ascii="宋体" w:hAnsi="宋体" w:cs="宋体"/>
          <w:color w:val="auto"/>
          <w:spacing w:val="10"/>
          <w:sz w:val="30"/>
          <w:szCs w:val="30"/>
          <w:highlight w:val="none"/>
        </w:rPr>
      </w:pPr>
      <w:r>
        <w:rPr>
          <w:rFonts w:hint="eastAsia" w:ascii="宋体" w:hAnsi="宋体" w:cs="宋体"/>
          <w:color w:val="auto"/>
          <w:sz w:val="30"/>
          <w:szCs w:val="30"/>
          <w:highlight w:val="none"/>
        </w:rPr>
        <w:t>代理机构：</w:t>
      </w:r>
      <w:r>
        <w:rPr>
          <w:rFonts w:hint="eastAsia" w:ascii="宋体" w:hAnsi="宋体" w:cs="宋体"/>
          <w:color w:val="auto"/>
          <w:spacing w:val="10"/>
          <w:sz w:val="30"/>
          <w:szCs w:val="30"/>
          <w:highlight w:val="none"/>
          <w:lang w:eastAsia="zh-CN"/>
        </w:rPr>
        <w:t>河南精开咨询有限公司</w:t>
      </w:r>
      <w:r>
        <w:rPr>
          <w:rFonts w:hint="eastAsia" w:ascii="宋体" w:hAnsi="宋体" w:cs="宋体"/>
          <w:color w:val="auto"/>
          <w:spacing w:val="10"/>
          <w:sz w:val="30"/>
          <w:szCs w:val="30"/>
          <w:highlight w:val="none"/>
        </w:rPr>
        <w:t xml:space="preserve"> </w:t>
      </w:r>
    </w:p>
    <w:p w14:paraId="38F83839">
      <w:pPr>
        <w:tabs>
          <w:tab w:val="left" w:pos="8820"/>
          <w:tab w:val="left" w:pos="9000"/>
        </w:tabs>
        <w:spacing w:line="360" w:lineRule="auto"/>
        <w:ind w:firstLine="2100" w:firstLineChars="700"/>
        <w:rPr>
          <w:rFonts w:hint="eastAsia" w:hAnsi="宋体" w:cs="宋体"/>
          <w:b/>
          <w:bCs/>
          <w:color w:val="auto"/>
          <w:sz w:val="28"/>
          <w:szCs w:val="28"/>
          <w:highlight w:val="none"/>
        </w:rPr>
        <w:sectPr>
          <w:footerReference r:id="rId5" w:type="first"/>
          <w:headerReference r:id="rId3" w:type="default"/>
          <w:footerReference r:id="rId4" w:type="default"/>
          <w:pgSz w:w="11907" w:h="16840"/>
          <w:pgMar w:top="1400" w:right="1418" w:bottom="1089" w:left="1418" w:header="624" w:footer="747" w:gutter="0"/>
          <w:pgNumType w:fmt="decimal"/>
          <w:cols w:space="720" w:num="1"/>
          <w:titlePg/>
          <w:docGrid w:type="linesAndChars" w:linePitch="312" w:charSpace="0"/>
        </w:sectPr>
      </w:pPr>
      <w:r>
        <w:rPr>
          <w:rFonts w:hint="eastAsia" w:ascii="宋体" w:hAnsi="宋体" w:cs="宋体"/>
          <w:color w:val="auto"/>
          <w:sz w:val="30"/>
          <w:szCs w:val="30"/>
          <w:highlight w:val="none"/>
        </w:rPr>
        <w:t xml:space="preserve">日 </w:t>
      </w:r>
      <w:r>
        <w:rPr>
          <w:rFonts w:hint="eastAsia" w:ascii="宋体" w:hAnsi="宋体" w:cs="宋体"/>
          <w:color w:val="auto"/>
          <w:sz w:val="30"/>
          <w:szCs w:val="30"/>
          <w:highlight w:val="none"/>
          <w:lang w:val="en-US" w:eastAsia="zh-CN"/>
        </w:rPr>
        <w:t xml:space="preserve">  </w:t>
      </w:r>
      <w:r>
        <w:rPr>
          <w:rFonts w:hint="eastAsia" w:ascii="宋体" w:hAnsi="宋体" w:cs="宋体"/>
          <w:color w:val="auto"/>
          <w:sz w:val="30"/>
          <w:szCs w:val="30"/>
          <w:highlight w:val="none"/>
        </w:rPr>
        <w:t xml:space="preserve"> 期：</w:t>
      </w:r>
      <w:r>
        <w:rPr>
          <w:rFonts w:hint="eastAsia" w:ascii="宋体" w:hAnsi="宋体" w:cs="宋体"/>
          <w:color w:val="auto"/>
          <w:spacing w:val="20"/>
          <w:sz w:val="30"/>
          <w:szCs w:val="30"/>
          <w:highlight w:val="none"/>
        </w:rPr>
        <w:t>二〇二</w:t>
      </w:r>
      <w:r>
        <w:rPr>
          <w:rFonts w:hint="eastAsia" w:ascii="宋体" w:hAnsi="宋体" w:cs="宋体"/>
          <w:color w:val="auto"/>
          <w:spacing w:val="20"/>
          <w:sz w:val="30"/>
          <w:szCs w:val="30"/>
          <w:highlight w:val="none"/>
          <w:lang w:val="en-US" w:eastAsia="zh-CN"/>
        </w:rPr>
        <w:t>五</w:t>
      </w:r>
      <w:r>
        <w:rPr>
          <w:rFonts w:hint="eastAsia" w:ascii="宋体" w:hAnsi="宋体" w:cs="宋体"/>
          <w:color w:val="auto"/>
          <w:spacing w:val="20"/>
          <w:sz w:val="30"/>
          <w:szCs w:val="30"/>
          <w:highlight w:val="none"/>
        </w:rPr>
        <w:t>年</w:t>
      </w:r>
      <w:r>
        <w:rPr>
          <w:rFonts w:hint="eastAsia" w:ascii="宋体" w:hAnsi="宋体" w:cs="宋体"/>
          <w:color w:val="auto"/>
          <w:spacing w:val="20"/>
          <w:sz w:val="30"/>
          <w:szCs w:val="30"/>
          <w:highlight w:val="none"/>
          <w:lang w:val="en-US" w:eastAsia="zh-CN"/>
        </w:rPr>
        <w:t>四</w:t>
      </w:r>
      <w:r>
        <w:rPr>
          <w:rFonts w:hint="eastAsia" w:ascii="宋体" w:hAnsi="宋体" w:cs="宋体"/>
          <w:color w:val="auto"/>
          <w:spacing w:val="20"/>
          <w:sz w:val="30"/>
          <w:szCs w:val="30"/>
          <w:highlight w:val="none"/>
        </w:rPr>
        <w:t>月</w:t>
      </w:r>
    </w:p>
    <w:p w14:paraId="683D4169">
      <w:pPr>
        <w:spacing w:line="720" w:lineRule="auto"/>
        <w:jc w:val="center"/>
        <w:rPr>
          <w:highlight w:val="none"/>
        </w:rPr>
      </w:pPr>
      <w:r>
        <w:rPr>
          <w:rFonts w:hint="eastAsia" w:ascii="宋体" w:hAnsi="宋体" w:eastAsia="宋体" w:cs="宋体"/>
          <w:b/>
          <w:bCs/>
          <w:color w:val="auto"/>
          <w:kern w:val="0"/>
          <w:sz w:val="30"/>
          <w:szCs w:val="30"/>
          <w:highlight w:val="none"/>
        </w:rPr>
        <w:t>目   录</w:t>
      </w:r>
      <w:r>
        <w:rPr>
          <w:color w:val="auto"/>
          <w:highlight w:val="none"/>
        </w:rPr>
        <w:fldChar w:fldCharType="begin"/>
      </w:r>
      <w:r>
        <w:rPr>
          <w:color w:val="auto"/>
          <w:highlight w:val="none"/>
        </w:rPr>
        <w:instrText xml:space="preserve">TOC \o "1-2" \h \u </w:instrText>
      </w:r>
      <w:r>
        <w:rPr>
          <w:color w:val="auto"/>
          <w:highlight w:val="none"/>
        </w:rPr>
        <w:fldChar w:fldCharType="separate"/>
      </w:r>
    </w:p>
    <w:p w14:paraId="5A9BE075">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_Toc31621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第一章  竞争性磋商公告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_Toc31621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07B29F3">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_Toc25756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第二章  响应人须知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_Toc25756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6</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BE9FFAE">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_Toc5077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第三章  磋商办法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_Toc5077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14A36B04">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_Toc23739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第四章  合同条款及格式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_Toc23739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68A62D70">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_Toc17708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第五章  技术要求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_Toc17708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34</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72B88537">
      <w:pPr>
        <w:pStyle w:val="14"/>
        <w:tabs>
          <w:tab w:val="right" w:leader="hyphen" w:pos="9632"/>
        </w:tabs>
        <w:spacing w:line="360" w:lineRule="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_Toc21759 </w:instrText>
      </w:r>
      <w:r>
        <w:rPr>
          <w:rFonts w:hint="eastAsia" w:ascii="宋体" w:hAnsi="宋体" w:eastAsia="宋体" w:cs="宋体"/>
          <w:sz w:val="28"/>
          <w:szCs w:val="28"/>
          <w:highlight w:val="none"/>
        </w:rPr>
        <w:fldChar w:fldCharType="separate"/>
      </w:r>
      <w:r>
        <w:rPr>
          <w:rFonts w:hint="eastAsia" w:ascii="宋体" w:hAnsi="宋体" w:eastAsia="宋体" w:cs="宋体"/>
          <w:bCs/>
          <w:sz w:val="28"/>
          <w:szCs w:val="28"/>
          <w:highlight w:val="none"/>
        </w:rPr>
        <w:t>第六章  响应文件格式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_Toc21759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35</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1CA668B">
      <w:pPr>
        <w:jc w:val="center"/>
        <w:outlineLvl w:val="0"/>
        <w:rPr>
          <w:color w:val="auto"/>
          <w:highlight w:val="none"/>
        </w:rPr>
      </w:pPr>
      <w:r>
        <w:rPr>
          <w:color w:val="auto"/>
          <w:highlight w:val="none"/>
        </w:rPr>
        <w:fldChar w:fldCharType="end"/>
      </w:r>
      <w:bookmarkStart w:id="4" w:name="_Toc16802"/>
      <w:bookmarkStart w:id="5" w:name="_Toc30097"/>
      <w:bookmarkStart w:id="6" w:name="_Toc11402"/>
      <w:bookmarkStart w:id="7" w:name="_Toc28999"/>
    </w:p>
    <w:p w14:paraId="0CB73A43">
      <w:pPr>
        <w:jc w:val="center"/>
        <w:outlineLvl w:val="0"/>
        <w:rPr>
          <w:rFonts w:hint="eastAsia"/>
          <w:b/>
          <w:bCs/>
          <w:color w:val="auto"/>
          <w:sz w:val="36"/>
          <w:szCs w:val="36"/>
          <w:highlight w:val="none"/>
        </w:rPr>
        <w:sectPr>
          <w:headerReference r:id="rId6" w:type="default"/>
          <w:footerReference r:id="rId7" w:type="default"/>
          <w:pgSz w:w="11900" w:h="16838"/>
          <w:pgMar w:top="1077" w:right="1134" w:bottom="1077" w:left="1134" w:header="720" w:footer="720" w:gutter="0"/>
          <w:pgNumType w:fmt="decimal"/>
          <w:cols w:space="720" w:num="1"/>
          <w:docGrid w:type="lines" w:linePitch="360" w:charSpace="0"/>
        </w:sectPr>
      </w:pPr>
    </w:p>
    <w:p w14:paraId="293E49DB">
      <w:pPr>
        <w:jc w:val="center"/>
        <w:outlineLvl w:val="0"/>
        <w:rPr>
          <w:rFonts w:hint="eastAsia" w:ascii="宋体" w:hAnsi="宋体" w:cs="宋体"/>
          <w:b/>
          <w:bCs/>
          <w:color w:val="auto"/>
          <w:kern w:val="0"/>
          <w:sz w:val="36"/>
          <w:szCs w:val="36"/>
          <w:highlight w:val="none"/>
        </w:rPr>
      </w:pPr>
      <w:bookmarkStart w:id="8" w:name="_Toc31621"/>
      <w:r>
        <w:rPr>
          <w:rFonts w:hint="eastAsia"/>
          <w:b/>
          <w:bCs/>
          <w:color w:val="auto"/>
          <w:sz w:val="36"/>
          <w:szCs w:val="36"/>
          <w:highlight w:val="none"/>
        </w:rPr>
        <w:t>第一章  竞争性磋商公告</w:t>
      </w:r>
      <w:bookmarkEnd w:id="4"/>
      <w:bookmarkEnd w:id="5"/>
      <w:bookmarkEnd w:id="6"/>
      <w:bookmarkEnd w:id="7"/>
      <w:bookmarkEnd w:id="8"/>
    </w:p>
    <w:p w14:paraId="7FBF1152">
      <w:pPr>
        <w:spacing w:line="300" w:lineRule="exact"/>
        <w:rPr>
          <w:rFonts w:ascii="宋体" w:hAnsi="宋体" w:cs="宋体"/>
          <w:color w:val="auto"/>
          <w:sz w:val="10"/>
          <w:szCs w:val="10"/>
          <w:highlight w:val="none"/>
        </w:rPr>
      </w:pPr>
    </w:p>
    <w:p w14:paraId="5D9FD3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04A61D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灵宝市“十五五”规划编制项目</w:t>
      </w:r>
      <w:r>
        <w:rPr>
          <w:rFonts w:hint="eastAsia" w:ascii="宋体" w:hAnsi="宋体" w:eastAsia="宋体" w:cs="宋体"/>
          <w:color w:val="auto"/>
          <w:sz w:val="24"/>
          <w:szCs w:val="24"/>
          <w:highlight w:val="none"/>
        </w:rPr>
        <w:t>的潜在</w:t>
      </w:r>
      <w:r>
        <w:rPr>
          <w:rFonts w:hint="eastAsia" w:ascii="宋体" w:hAnsi="宋体" w:eastAsia="宋体" w:cs="宋体"/>
          <w:color w:val="auto"/>
          <w:kern w:val="0"/>
          <w:sz w:val="24"/>
          <w:szCs w:val="24"/>
          <w:highlight w:val="none"/>
          <w:lang w:val="en-US" w:eastAsia="zh-CN"/>
        </w:rPr>
        <w:t>响应人</w:t>
      </w:r>
      <w:r>
        <w:rPr>
          <w:rFonts w:hint="eastAsia" w:ascii="宋体" w:hAnsi="宋体" w:eastAsia="宋体" w:cs="宋体"/>
          <w:color w:val="auto"/>
          <w:sz w:val="24"/>
          <w:szCs w:val="24"/>
          <w:highlight w:val="none"/>
        </w:rPr>
        <w:t>应在三门峡市公共资源交易中心gzjy.smx.gov.cn获取</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文件，并于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北京时间）前递交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p>
    <w:p w14:paraId="335647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p>
    <w:p w14:paraId="339F54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1、采购项目编号：</w:t>
      </w:r>
      <w:r>
        <w:rPr>
          <w:rFonts w:hint="eastAsia" w:ascii="宋体" w:hAnsi="宋体" w:cs="宋体"/>
          <w:color w:val="auto"/>
          <w:sz w:val="24"/>
          <w:szCs w:val="24"/>
          <w:highlight w:val="none"/>
          <w:lang w:val="en-US" w:eastAsia="zh-CN"/>
        </w:rPr>
        <w:t>灵宝竞磋采购-2025-44、LBGZ[2025]100-ZC069</w:t>
      </w:r>
    </w:p>
    <w:p w14:paraId="73549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2、采购项目名称：</w:t>
      </w:r>
      <w:r>
        <w:rPr>
          <w:rFonts w:hint="eastAsia" w:ascii="宋体" w:hAnsi="宋体" w:cs="宋体"/>
          <w:color w:val="auto"/>
          <w:sz w:val="24"/>
          <w:szCs w:val="24"/>
          <w:highlight w:val="none"/>
          <w:lang w:eastAsia="zh-CN"/>
        </w:rPr>
        <w:t>灵宝市“十五五”规划编制项目</w:t>
      </w:r>
    </w:p>
    <w:p w14:paraId="6679A5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3、采购方式：</w:t>
      </w:r>
      <w:r>
        <w:rPr>
          <w:rFonts w:hint="eastAsia" w:ascii="宋体" w:hAnsi="宋体" w:eastAsia="宋体" w:cs="宋体"/>
          <w:color w:val="auto"/>
          <w:sz w:val="24"/>
          <w:szCs w:val="24"/>
          <w:highlight w:val="none"/>
          <w:lang w:val="en-US" w:eastAsia="zh-CN"/>
        </w:rPr>
        <w:t>竞争性磋商</w:t>
      </w:r>
    </w:p>
    <w:p w14:paraId="5A6596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4、最高限价：</w:t>
      </w:r>
      <w:r>
        <w:rPr>
          <w:rFonts w:hint="eastAsia" w:ascii="宋体" w:hAnsi="宋体" w:cs="宋体"/>
          <w:color w:val="auto"/>
          <w:sz w:val="24"/>
          <w:szCs w:val="24"/>
          <w:highlight w:val="none"/>
          <w:lang w:val="en-US" w:eastAsia="zh-CN"/>
        </w:rPr>
        <w:t>400000</w:t>
      </w:r>
      <w:r>
        <w:rPr>
          <w:rFonts w:hint="eastAsia" w:ascii="宋体" w:hAnsi="宋体" w:eastAsia="宋体" w:cs="宋体"/>
          <w:snapToGrid w:val="0"/>
          <w:color w:val="auto"/>
          <w:sz w:val="24"/>
          <w:szCs w:val="24"/>
          <w:highlight w:val="none"/>
          <w:lang w:eastAsia="zh-CN"/>
        </w:rPr>
        <w:t>.00</w:t>
      </w:r>
      <w:r>
        <w:rPr>
          <w:rFonts w:hint="eastAsia" w:ascii="宋体" w:hAnsi="宋体" w:eastAsia="宋体" w:cs="宋体"/>
          <w:color w:val="auto"/>
          <w:sz w:val="24"/>
          <w:szCs w:val="24"/>
          <w:highlight w:val="none"/>
        </w:rPr>
        <w:t>元</w:t>
      </w:r>
    </w:p>
    <w:tbl>
      <w:tblPr>
        <w:tblStyle w:val="19"/>
        <w:tblW w:w="86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6"/>
        <w:gridCol w:w="5529"/>
        <w:gridCol w:w="2235"/>
      </w:tblGrid>
      <w:tr w14:paraId="02E525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B50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5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06A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包名称</w:t>
            </w:r>
          </w:p>
        </w:tc>
        <w:tc>
          <w:tcPr>
            <w:tcW w:w="22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F326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p>
        </w:tc>
      </w:tr>
      <w:tr w14:paraId="3B15D4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0" w:hRule="atLeast"/>
          <w:jc w:val="center"/>
        </w:trPr>
        <w:tc>
          <w:tcPr>
            <w:tcW w:w="8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DA74C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F1C5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灵宝市“十五五”规划编制项目</w:t>
            </w:r>
          </w:p>
        </w:tc>
        <w:tc>
          <w:tcPr>
            <w:tcW w:w="22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ADAF2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400000</w:t>
            </w:r>
            <w:r>
              <w:rPr>
                <w:rFonts w:hint="eastAsia" w:ascii="宋体" w:hAnsi="宋体" w:eastAsia="宋体" w:cs="宋体"/>
                <w:snapToGrid w:val="0"/>
                <w:color w:val="auto"/>
                <w:sz w:val="24"/>
                <w:szCs w:val="24"/>
                <w:highlight w:val="none"/>
                <w:lang w:eastAsia="zh-CN"/>
              </w:rPr>
              <w:t>.00</w:t>
            </w:r>
          </w:p>
        </w:tc>
      </w:tr>
    </w:tbl>
    <w:p w14:paraId="32775B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包括但不限于标的的名称、数量、简要技术需求或服务要求等）</w:t>
      </w:r>
    </w:p>
    <w:p w14:paraId="57EEE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5.1项目内容及概况：</w:t>
      </w:r>
    </w:p>
    <w:p w14:paraId="21687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w:t>
      </w:r>
      <w:r>
        <w:rPr>
          <w:rFonts w:hint="eastAsia" w:ascii="宋体" w:hAnsi="宋体" w:cs="宋体"/>
          <w:color w:val="auto"/>
          <w:sz w:val="24"/>
          <w:szCs w:val="24"/>
          <w:highlight w:val="none"/>
          <w:lang w:eastAsia="zh-CN"/>
        </w:rPr>
        <w:t>灵宝市“十五五”规划编制项目</w:t>
      </w:r>
      <w:r>
        <w:rPr>
          <w:rFonts w:hint="eastAsia" w:ascii="宋体" w:hAnsi="宋体" w:eastAsia="宋体" w:cs="宋体"/>
          <w:color w:val="auto"/>
          <w:sz w:val="24"/>
          <w:szCs w:val="24"/>
          <w:highlight w:val="none"/>
        </w:rPr>
        <w:t>，主要内容包含：编制</w:t>
      </w:r>
      <w:r>
        <w:rPr>
          <w:rFonts w:hint="eastAsia" w:ascii="宋体" w:hAnsi="宋体" w:cs="宋体"/>
          <w:color w:val="auto"/>
          <w:sz w:val="24"/>
          <w:szCs w:val="24"/>
          <w:highlight w:val="none"/>
          <w:lang w:eastAsia="zh-CN"/>
        </w:rPr>
        <w:t>灵宝市</w:t>
      </w:r>
      <w:r>
        <w:rPr>
          <w:rFonts w:hint="eastAsia" w:ascii="宋体" w:hAnsi="宋体" w:eastAsia="宋体" w:cs="宋体"/>
          <w:color w:val="auto"/>
          <w:sz w:val="24"/>
          <w:szCs w:val="24"/>
          <w:highlight w:val="none"/>
        </w:rPr>
        <w:t>“十五五”规划，包括专题研究报告、“十五五”纲要成果、“十五五”中期评估等内容（详见第五章 采购内容及需求）。</w:t>
      </w:r>
    </w:p>
    <w:p w14:paraId="37937B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5.2资金来源：财政资金，已落实</w:t>
      </w:r>
    </w:p>
    <w:p w14:paraId="3B510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5.3项目地点：三门峡境内</w:t>
      </w:r>
    </w:p>
    <w:p w14:paraId="359016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5.4服务周期：</w:t>
      </w:r>
      <w:r>
        <w:rPr>
          <w:rFonts w:hint="eastAsia" w:ascii="宋体" w:hAnsi="宋体" w:cs="宋体"/>
          <w:color w:val="auto"/>
          <w:sz w:val="24"/>
          <w:szCs w:val="24"/>
          <w:highlight w:val="none"/>
          <w:lang w:val="en-US" w:eastAsia="zh-CN"/>
        </w:rPr>
        <w:t>四年</w:t>
      </w:r>
    </w:p>
    <w:p w14:paraId="40DC9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要求：乙方按照甲方需求开展相关工作，向甲方交付规划成果，成果文件须符合国家、河南省、三门峡市及</w:t>
      </w:r>
      <w:r>
        <w:rPr>
          <w:rFonts w:hint="eastAsia" w:ascii="宋体" w:hAnsi="宋体" w:cs="宋体"/>
          <w:color w:val="auto"/>
          <w:sz w:val="24"/>
          <w:szCs w:val="24"/>
          <w:highlight w:val="none"/>
          <w:lang w:val="en-US" w:eastAsia="zh-CN"/>
        </w:rPr>
        <w:t>灵宝市</w:t>
      </w:r>
      <w:r>
        <w:rPr>
          <w:rFonts w:hint="eastAsia" w:ascii="宋体" w:hAnsi="宋体" w:eastAsia="宋体" w:cs="宋体"/>
          <w:color w:val="auto"/>
          <w:sz w:val="24"/>
          <w:szCs w:val="24"/>
          <w:highlight w:val="none"/>
        </w:rPr>
        <w:t>有关政策和规划，满足甲方使用需求。</w:t>
      </w:r>
    </w:p>
    <w:p w14:paraId="1401C8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5.6采购范围：</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文件的全部内容</w:t>
      </w:r>
    </w:p>
    <w:p w14:paraId="767E5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5.7标段划分：本项目划分一个标段</w:t>
      </w:r>
    </w:p>
    <w:p w14:paraId="0451D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6、合同履行期限：</w:t>
      </w:r>
      <w:r>
        <w:rPr>
          <w:rFonts w:hint="eastAsia" w:ascii="宋体" w:hAnsi="宋体" w:cs="宋体"/>
          <w:color w:val="auto"/>
          <w:sz w:val="24"/>
          <w:szCs w:val="24"/>
          <w:highlight w:val="none"/>
          <w:lang w:val="en-US" w:eastAsia="zh-CN"/>
        </w:rPr>
        <w:t>四年</w:t>
      </w:r>
    </w:p>
    <w:p w14:paraId="2AA300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7、本项目是否接受联合体投标：否</w:t>
      </w:r>
    </w:p>
    <w:p w14:paraId="5068C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8、是否接受进口产品：否</w:t>
      </w:r>
    </w:p>
    <w:p w14:paraId="7B1D8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9、是否专门面向中小企业：否</w:t>
      </w:r>
    </w:p>
    <w:p w14:paraId="10C86D9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二、申请</w:t>
      </w:r>
      <w:r>
        <w:rPr>
          <w:rFonts w:hint="eastAsia" w:ascii="宋体" w:hAnsi="宋体" w:eastAsia="宋体" w:cs="宋体"/>
          <w:color w:val="auto"/>
          <w:kern w:val="0"/>
          <w:sz w:val="24"/>
          <w:szCs w:val="24"/>
          <w:highlight w:val="none"/>
          <w:lang w:val="en-US" w:eastAsia="zh-CN"/>
        </w:rPr>
        <w:t>人资格要求：  </w:t>
      </w:r>
    </w:p>
    <w:p w14:paraId="6C9656E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1、满足《中华人民共和国政府采购法》第二十二条规定</w:t>
      </w:r>
      <w:r>
        <w:rPr>
          <w:rFonts w:hint="eastAsia" w:ascii="宋体" w:hAnsi="宋体" w:cs="宋体"/>
          <w:color w:val="auto"/>
          <w:kern w:val="0"/>
          <w:sz w:val="24"/>
          <w:szCs w:val="24"/>
          <w:highlight w:val="none"/>
          <w:lang w:val="en-US" w:eastAsia="zh-CN"/>
        </w:rPr>
        <w:t>；</w:t>
      </w:r>
    </w:p>
    <w:p w14:paraId="6886213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2、落实政府采购政策满足的资格要求：本项目执行促进中小型企业发展政策（监狱企业、残疾人福利性企业视同小微企业）、优先采购节能环保产品等政府采购政策；</w:t>
      </w:r>
    </w:p>
    <w:p w14:paraId="4182EAC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3、本项目的特定资格要求</w:t>
      </w:r>
    </w:p>
    <w:p w14:paraId="37F8866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3.1、响应人须具备独立法人资格或事业法人资格，具有有效的营业执照</w:t>
      </w:r>
      <w:r>
        <w:rPr>
          <w:rFonts w:hint="eastAsia" w:ascii="宋体" w:hAnsi="宋体" w:cs="宋体"/>
          <w:color w:val="auto"/>
          <w:kern w:val="0"/>
          <w:sz w:val="24"/>
          <w:szCs w:val="24"/>
          <w:highlight w:val="none"/>
          <w:lang w:val="en-US" w:eastAsia="zh-CN"/>
        </w:rPr>
        <w:t>或事业单位法人证书</w:t>
      </w:r>
      <w:r>
        <w:rPr>
          <w:rFonts w:hint="eastAsia" w:ascii="宋体" w:hAnsi="宋体" w:eastAsia="宋体" w:cs="宋体"/>
          <w:color w:val="auto"/>
          <w:kern w:val="0"/>
          <w:sz w:val="24"/>
          <w:szCs w:val="24"/>
          <w:highlight w:val="none"/>
          <w:lang w:val="en-US" w:eastAsia="zh-CN"/>
        </w:rPr>
        <w:t>；</w:t>
      </w:r>
    </w:p>
    <w:p w14:paraId="2D18588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单位负责人为同一人或者存在控股、管理关系的不同响应人，不得同时参加本项目政府采购活动（磋商文件内附“国家企业信用信息”中公示的公司信息、股东或投资人信息截图，查询时间自公告发布之日起）；</w:t>
      </w:r>
    </w:p>
    <w:p w14:paraId="6AE2690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具有履行本项目服务内容所必须的设备和专业技术服务能力（提供证明材料或承诺书）；</w:t>
      </w:r>
    </w:p>
    <w:p w14:paraId="2EA944F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具有良好的商业信誉和健全的财务会计制度，提供承诺书（格式自拟）；</w:t>
      </w:r>
    </w:p>
    <w:p w14:paraId="6022B7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响应人依法缴纳税收和社会保障资金，提供承诺书（格式自拟）；</w:t>
      </w:r>
    </w:p>
    <w:p w14:paraId="42C960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本企业无商业贿赂及无不正当竞争行为，提供承诺书（格式自拟）；</w:t>
      </w:r>
    </w:p>
    <w:p w14:paraId="62332D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须提供本企业无行贿犯罪记录在中国裁判文书网自行查询结果或自行承诺（查询对象：企业、法定代表人）；</w:t>
      </w:r>
    </w:p>
    <w:p w14:paraId="4A2215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val="en-US" w:eastAsia="zh-CN"/>
        </w:rPr>
        <w:t>根据《关于在政府采购活动中查询及使用信用记录有关问题的通知》(财库[2016]125号)和豫财购【2016】15号的规定，对列入失信被执行人、重大税收违法失信主体、政府采购严重违法失信行为记录名单的</w:t>
      </w:r>
      <w:r>
        <w:rPr>
          <w:rFonts w:hint="eastAsia" w:ascii="宋体" w:hAnsi="宋体" w:cs="宋体"/>
          <w:color w:val="auto"/>
          <w:kern w:val="0"/>
          <w:sz w:val="24"/>
          <w:szCs w:val="24"/>
          <w:highlight w:val="none"/>
          <w:lang w:val="en-US" w:eastAsia="zh-CN"/>
        </w:rPr>
        <w:t>响应人</w:t>
      </w:r>
      <w:r>
        <w:rPr>
          <w:rFonts w:hint="eastAsia" w:ascii="宋体" w:hAnsi="宋体" w:eastAsia="宋体" w:cs="宋体"/>
          <w:color w:val="auto"/>
          <w:kern w:val="0"/>
          <w:sz w:val="24"/>
          <w:szCs w:val="24"/>
          <w:highlight w:val="none"/>
          <w:lang w:val="en-US" w:eastAsia="zh-CN"/>
        </w:rPr>
        <w:t>，拒绝参与本项目采购活动；须提供中国执行信息公开网（http://zxgk.court.gov.cn/）关于“失信被执行人”查询截图；信用中国(www.creditchina.gov.cn）关于“重大税收违法失信主体”查询截图；中国政府采购网（www.ccgp.gov.cn）关于“政府采购严重违法失信行为记录名单”查询截图。查提供网站的查询结果截图，截图要</w:t>
      </w:r>
      <w:r>
        <w:rPr>
          <w:rFonts w:hint="eastAsia" w:ascii="宋体" w:hAnsi="宋体" w:eastAsia="宋体" w:cs="宋体"/>
          <w:color w:val="auto"/>
          <w:sz w:val="24"/>
          <w:szCs w:val="24"/>
          <w:highlight w:val="none"/>
          <w:lang w:val="en-US" w:eastAsia="zh-CN"/>
        </w:rPr>
        <w:t>显示查询时间，查询时间自本公告发布之日起；</w:t>
      </w:r>
    </w:p>
    <w:p w14:paraId="7F2E9B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4、本项目不接受联合体磋商，提供承诺书（格式自拟）；</w:t>
      </w:r>
    </w:p>
    <w:p w14:paraId="07509B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5、本次磋商实行资格后审，资格审查的具体要求见磋商文件；</w:t>
      </w:r>
    </w:p>
    <w:p w14:paraId="01FB9C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磋商文件获取方式</w:t>
      </w:r>
    </w:p>
    <w:p w14:paraId="584F96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1、磋商文件获取方式：本项目没有报名环节，响应人凭CA数字证书通过三门峡市公共资源交易中心网（网址：http://gzjy.smx.gov.cn/），点击交易平台选择“市场主体登录”，在所参与项目右侧点击参与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，即可直接下载本项目招标文件。办理CA证书：http://gzjy.smx.gov.cn/fwzn/004003/20201019/a8fae6a0-baed-499b-bb50-8ecc8828a2ca.html</w:t>
      </w:r>
    </w:p>
    <w:p w14:paraId="717FF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2、磋商文件下载时间：2025年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日至2025年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分。</w:t>
      </w:r>
    </w:p>
    <w:p w14:paraId="2E612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注：开标当日，</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无需到开标现场参加开标会议，</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应当在</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解密等。每位</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人的解密时间为开标时间起30分钟内完成。因</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原因未能解密、解密失败或解密超时的将被拒绝。</w:t>
      </w:r>
    </w:p>
    <w:p w14:paraId="44852A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3、根据《关于进一步加强公共资源交易管理持续优化营商环境的通知》（三公管办〔2020〕2号）文件的要求,磋商文件费用不再收取。</w:t>
      </w:r>
    </w:p>
    <w:p w14:paraId="12C040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4、本项目实行资格后审，审查内容以</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截止时间前在三门峡市公共资源交易系统上传的</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文件的信息为准。其上传资料真实性由</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自行承担，否则由此造成应得分而未得分或资格审查不合格等情况的，由</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承担责任。</w:t>
      </w:r>
    </w:p>
    <w:p w14:paraId="5CA29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、磋商保证金</w:t>
      </w:r>
    </w:p>
    <w:p w14:paraId="725DA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按照《河南省财政厅关于优化政府采购营商环境有关问题的通知》（豫财购[2019]4号文）的要求本项目不再收取磋商保证金。</w:t>
      </w:r>
    </w:p>
    <w:p w14:paraId="58466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五、开标时间和地点</w:t>
      </w:r>
    </w:p>
    <w:p w14:paraId="65463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1、响应文件递交截止时间（开标时间）：2025年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09</w:t>
      </w:r>
      <w:r>
        <w:rPr>
          <w:rFonts w:hint="eastAsia" w:ascii="宋体" w:hAnsi="宋体" w:eastAsia="宋体" w:cs="宋体"/>
          <w:color w:val="auto"/>
          <w:sz w:val="24"/>
          <w:szCs w:val="24"/>
          <w:highlight w:val="none"/>
          <w:lang w:val="en-US" w:eastAsia="zh-CN"/>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zh-CN"/>
        </w:rPr>
        <w:t>分（北京时间）</w:t>
      </w:r>
    </w:p>
    <w:p w14:paraId="7D0535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2、开评标地点：灵宝市公共资源交易中心开标</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室、评标</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室（灵宝市金城大道信用合作联社12楼）</w:t>
      </w:r>
    </w:p>
    <w:p w14:paraId="3AFC7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六、发布媒体</w:t>
      </w:r>
    </w:p>
    <w:p w14:paraId="41089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本次磋商公告同时在</w:t>
      </w:r>
      <w:r>
        <w:rPr>
          <w:rFonts w:hint="eastAsia" w:ascii="宋体" w:hAnsi="宋体" w:cs="宋体"/>
          <w:color w:val="auto"/>
          <w:sz w:val="24"/>
          <w:szCs w:val="24"/>
          <w:highlight w:val="none"/>
          <w:lang w:eastAsia="zh-CN"/>
        </w:rPr>
        <w:t>《中国采购与招标网》、《河南省政府采购网》、《三门峡市公共资源交易中心网》</w:t>
      </w:r>
      <w:r>
        <w:rPr>
          <w:rFonts w:hint="eastAsia" w:ascii="宋体" w:hAnsi="宋体" w:eastAsia="宋体" w:cs="宋体"/>
          <w:color w:val="auto"/>
          <w:sz w:val="24"/>
          <w:szCs w:val="24"/>
          <w:highlight w:val="none"/>
          <w:lang w:val="en-US" w:eastAsia="zh-CN"/>
        </w:rPr>
        <w:t>上发布。</w:t>
      </w:r>
    </w:p>
    <w:p w14:paraId="3ADCB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七、其他</w:t>
      </w:r>
    </w:p>
    <w:p w14:paraId="110B59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应仔细阅读操作手册，在本公告中要求的截止时间前完成网上投标等工作。因</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操作不当等问题造成的无法下载磋商文件、无法投标等一切后果，由</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自行承担。</w:t>
      </w:r>
    </w:p>
    <w:p w14:paraId="6D1C5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递交的响应文件不论中标与否均不予退还。</w:t>
      </w:r>
    </w:p>
    <w:p w14:paraId="30352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不组织</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踏勘现场。</w:t>
      </w:r>
    </w:p>
    <w:p w14:paraId="3E1D3F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4、项目所有变更澄清都以网站公布为准，不再另行通知。</w:t>
      </w:r>
    </w:p>
    <w:p w14:paraId="553457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5、本项目资格评审和业绩以</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为准，</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可使用电子营业执照。</w:t>
      </w:r>
    </w:p>
    <w:p w14:paraId="194E1B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6、根据优化营商环境的要求，评标时以</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为准：</w:t>
      </w:r>
    </w:p>
    <w:p w14:paraId="4E3571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（1）资格评（预）审部分：资格评（预）审以</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为准，其上传资料真实性由</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自行承担。</w:t>
      </w:r>
    </w:p>
    <w:p w14:paraId="7D4C51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（2）评标打分部分：评标打分部分仍按照100分制原则进行，涉及到资格审查、企业荣誉、人员业绩、企业业绩等计分部分时，以</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单位自行上传到响应文件中的相应内容为准。</w:t>
      </w:r>
    </w:p>
    <w:p w14:paraId="78EA37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（3）响应文件编制部分：在磋商文件中要求</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lang w:val="en-US" w:eastAsia="zh-CN"/>
        </w:rPr>
        <w:t>按照响应文件格式进行响应文件编制时，应明确将</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lang w:val="en-US" w:eastAsia="zh-CN"/>
        </w:rPr>
        <w:t>单位企业基本情况、资质情况、人员情况、财务情况、业绩情况编入响应文件，便于进行资格审查及评标打分。</w:t>
      </w:r>
    </w:p>
    <w:p w14:paraId="49CDAE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温馨提示：本项目为电子化、无纸化交易项目，开标时不再接受任何纸质资料，为保证您能投标成功，请需仔细阅读</w:t>
      </w:r>
      <w:r>
        <w:rPr>
          <w:rFonts w:hint="eastAsia" w:ascii="宋体" w:hAnsi="宋体" w:cs="宋体"/>
          <w:color w:val="auto"/>
          <w:sz w:val="24"/>
          <w:szCs w:val="24"/>
          <w:highlight w:val="none"/>
          <w:lang w:val="en-US" w:eastAsia="zh-CN"/>
        </w:rPr>
        <w:t>响应文件</w:t>
      </w:r>
      <w:r>
        <w:rPr>
          <w:rFonts w:hint="eastAsia" w:ascii="宋体" w:hAnsi="宋体" w:eastAsia="宋体" w:cs="宋体"/>
          <w:color w:val="auto"/>
          <w:sz w:val="24"/>
          <w:szCs w:val="24"/>
          <w:highlight w:val="none"/>
          <w:lang w:val="en-US" w:eastAsia="zh-CN"/>
        </w:rPr>
        <w:t>和三门峡市公共资源交易中心官网业务办理指南。</w:t>
      </w:r>
    </w:p>
    <w:p w14:paraId="42068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八、联系方式</w:t>
      </w:r>
    </w:p>
    <w:p w14:paraId="048B70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监督部门：</w:t>
      </w:r>
      <w:r>
        <w:rPr>
          <w:rFonts w:hint="eastAsia" w:ascii="宋体" w:hAnsi="宋体" w:cs="宋体"/>
          <w:color w:val="auto"/>
          <w:kern w:val="0"/>
          <w:sz w:val="24"/>
          <w:szCs w:val="24"/>
          <w:highlight w:val="none"/>
          <w:lang w:eastAsia="zh-CN"/>
        </w:rPr>
        <w:t>灵宝市发展和改革委员会</w:t>
      </w:r>
    </w:p>
    <w:p w14:paraId="6DB9EE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联系电话：</w:t>
      </w:r>
      <w:r>
        <w:rPr>
          <w:rFonts w:hint="eastAsia" w:ascii="宋体" w:hAnsi="宋体" w:cs="宋体"/>
          <w:color w:val="auto"/>
          <w:kern w:val="0"/>
          <w:sz w:val="24"/>
          <w:szCs w:val="24"/>
          <w:highlight w:val="none"/>
          <w:lang w:val="en-US" w:eastAsia="zh-CN"/>
        </w:rPr>
        <w:t>0398-8829222</w:t>
      </w:r>
    </w:p>
    <w:p w14:paraId="45F78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监督部门：灵宝市财政局政府采购监督管理科</w:t>
      </w:r>
    </w:p>
    <w:p w14:paraId="3CFF93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联系电话：0398-8852670</w:t>
      </w:r>
    </w:p>
    <w:p w14:paraId="5DB5C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采 购 人</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灵宝市发展和改革委员会</w:t>
      </w:r>
    </w:p>
    <w:p w14:paraId="3A6243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址：灵宝市金城大道19号</w:t>
      </w:r>
    </w:p>
    <w:p w14:paraId="75965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柳先生</w:t>
      </w:r>
    </w:p>
    <w:p w14:paraId="66746D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电    话：</w:t>
      </w:r>
      <w:r>
        <w:rPr>
          <w:rFonts w:hint="eastAsia" w:ascii="宋体" w:hAnsi="宋体" w:cs="宋体"/>
          <w:color w:val="auto"/>
          <w:kern w:val="0"/>
          <w:sz w:val="24"/>
          <w:szCs w:val="24"/>
          <w:highlight w:val="none"/>
          <w:lang w:val="en-US" w:eastAsia="zh-CN"/>
        </w:rPr>
        <w:t>0398-8829296</w:t>
      </w:r>
    </w:p>
    <w:p w14:paraId="51CD7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代理机构：河南精开咨询有限公司</w:t>
      </w:r>
    </w:p>
    <w:p w14:paraId="3CE76E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址：河南省三门峡市经济开发区分陕路与北环路交叉口向西200米开发区双创园B栋306</w:t>
      </w:r>
    </w:p>
    <w:p w14:paraId="63044E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系</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人：白先生</w:t>
      </w:r>
    </w:p>
    <w:p w14:paraId="6A3043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联系电话：19253988110</w:t>
      </w:r>
    </w:p>
    <w:p w14:paraId="20CDFE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2312032D">
      <w:pPr>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bookmarkStart w:id="9" w:name="_Toc23228"/>
      <w:bookmarkStart w:id="10" w:name="_Toc29913"/>
      <w:bookmarkStart w:id="11" w:name="_Toc16264"/>
      <w:bookmarkStart w:id="12" w:name="_Toc28522"/>
      <w:r>
        <w:rPr>
          <w:rFonts w:hint="eastAsia" w:ascii="宋体" w:hAnsi="宋体" w:eastAsia="宋体" w:cs="宋体"/>
          <w:b/>
          <w:bCs/>
          <w:color w:val="auto"/>
          <w:sz w:val="24"/>
          <w:szCs w:val="24"/>
          <w:highlight w:val="none"/>
        </w:rPr>
        <w:br w:type="page"/>
      </w:r>
    </w:p>
    <w:p w14:paraId="17DE135B">
      <w:pPr>
        <w:spacing w:line="360" w:lineRule="auto"/>
        <w:jc w:val="center"/>
        <w:outlineLvl w:val="0"/>
        <w:rPr>
          <w:rFonts w:hint="eastAsia"/>
          <w:b/>
          <w:bCs/>
          <w:color w:val="auto"/>
          <w:sz w:val="36"/>
          <w:szCs w:val="36"/>
          <w:highlight w:val="none"/>
        </w:rPr>
      </w:pPr>
      <w:bookmarkStart w:id="13" w:name="_Toc25756"/>
      <w:r>
        <w:rPr>
          <w:rFonts w:hint="eastAsia"/>
          <w:b/>
          <w:bCs/>
          <w:color w:val="auto"/>
          <w:sz w:val="36"/>
          <w:szCs w:val="36"/>
          <w:highlight w:val="none"/>
        </w:rPr>
        <w:t>第二章   响应人须知</w:t>
      </w:r>
      <w:bookmarkEnd w:id="9"/>
      <w:bookmarkEnd w:id="10"/>
      <w:bookmarkEnd w:id="11"/>
      <w:bookmarkEnd w:id="12"/>
      <w:bookmarkEnd w:id="13"/>
    </w:p>
    <w:p w14:paraId="7FCCC859">
      <w:pPr>
        <w:keepNext/>
        <w:keepLines/>
        <w:spacing w:line="360" w:lineRule="auto"/>
        <w:ind w:left="851" w:hanging="284"/>
        <w:jc w:val="center"/>
        <w:outlineLvl w:val="1"/>
        <w:rPr>
          <w:rFonts w:ascii="黑体" w:hAnsi="宋体" w:eastAsia="黑体" w:cs="宋体"/>
          <w:b/>
          <w:bCs/>
          <w:color w:val="auto"/>
          <w:sz w:val="24"/>
          <w:szCs w:val="24"/>
          <w:highlight w:val="none"/>
        </w:rPr>
      </w:pPr>
      <w:bookmarkStart w:id="14" w:name="_Toc31332"/>
      <w:bookmarkStart w:id="15" w:name="_Toc8980"/>
      <w:bookmarkStart w:id="16" w:name="_Toc6394"/>
      <w:bookmarkStart w:id="17" w:name="_Toc2954"/>
      <w:bookmarkStart w:id="18" w:name="_Toc6916"/>
      <w:bookmarkStart w:id="19" w:name="_Toc8624"/>
      <w:r>
        <w:rPr>
          <w:rFonts w:hint="eastAsia" w:ascii="黑体" w:hAnsi="宋体" w:eastAsia="黑体" w:cs="宋体"/>
          <w:b/>
          <w:bCs/>
          <w:color w:val="auto"/>
          <w:sz w:val="24"/>
          <w:szCs w:val="24"/>
          <w:highlight w:val="none"/>
        </w:rPr>
        <w:t>响应人须知前附表</w:t>
      </w:r>
      <w:bookmarkEnd w:id="14"/>
      <w:bookmarkEnd w:id="15"/>
      <w:bookmarkEnd w:id="16"/>
      <w:bookmarkEnd w:id="17"/>
      <w:bookmarkEnd w:id="18"/>
      <w:bookmarkEnd w:id="19"/>
    </w:p>
    <w:tbl>
      <w:tblPr>
        <w:tblStyle w:val="19"/>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878"/>
        <w:gridCol w:w="6986"/>
      </w:tblGrid>
      <w:tr w14:paraId="3280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2A650D2">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1878" w:type="dxa"/>
            <w:tcBorders>
              <w:top w:val="single" w:color="auto" w:sz="4" w:space="0"/>
              <w:left w:val="nil"/>
              <w:bottom w:val="single" w:color="auto" w:sz="4" w:space="0"/>
              <w:right w:val="single" w:color="auto" w:sz="4" w:space="0"/>
            </w:tcBorders>
            <w:noWrap w:val="0"/>
            <w:vAlign w:val="center"/>
          </w:tcPr>
          <w:p w14:paraId="568D501A">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6986" w:type="dxa"/>
            <w:tcBorders>
              <w:top w:val="single" w:color="auto" w:sz="4" w:space="0"/>
              <w:left w:val="nil"/>
              <w:bottom w:val="single" w:color="auto" w:sz="4" w:space="0"/>
              <w:right w:val="single" w:color="auto" w:sz="4" w:space="0"/>
            </w:tcBorders>
            <w:noWrap w:val="0"/>
            <w:vAlign w:val="center"/>
          </w:tcPr>
          <w:p w14:paraId="24BB1C64">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编  列  内  容</w:t>
            </w:r>
          </w:p>
        </w:tc>
      </w:tr>
      <w:tr w14:paraId="618A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2EF80B1">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pacing w:val="11"/>
                <w:sz w:val="24"/>
                <w:szCs w:val="24"/>
                <w:highlight w:val="none"/>
              </w:rPr>
              <w:t>1</w:t>
            </w:r>
          </w:p>
        </w:tc>
        <w:tc>
          <w:tcPr>
            <w:tcW w:w="1878" w:type="dxa"/>
            <w:tcBorders>
              <w:top w:val="single" w:color="auto" w:sz="4" w:space="0"/>
              <w:left w:val="nil"/>
              <w:bottom w:val="single" w:color="auto" w:sz="4" w:space="0"/>
              <w:right w:val="single" w:color="auto" w:sz="4" w:space="0"/>
            </w:tcBorders>
            <w:noWrap w:val="0"/>
            <w:vAlign w:val="center"/>
          </w:tcPr>
          <w:p w14:paraId="2D156C7B">
            <w:pPr>
              <w:widowControl/>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采购人</w:t>
            </w:r>
          </w:p>
        </w:tc>
        <w:tc>
          <w:tcPr>
            <w:tcW w:w="6986" w:type="dxa"/>
            <w:tcBorders>
              <w:top w:val="single" w:color="auto" w:sz="4" w:space="0"/>
              <w:left w:val="nil"/>
              <w:bottom w:val="single" w:color="auto" w:sz="4" w:space="0"/>
              <w:right w:val="single" w:color="auto" w:sz="4" w:space="0"/>
            </w:tcBorders>
            <w:noWrap w:val="0"/>
            <w:vAlign w:val="center"/>
          </w:tcPr>
          <w:p w14:paraId="2426EDD0">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 购 人：灵宝市发展和改革委员会</w:t>
            </w:r>
          </w:p>
          <w:p w14:paraId="7E7EB0A3">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    址：灵宝市金城大道19号</w:t>
            </w:r>
          </w:p>
          <w:p w14:paraId="1FAF3764">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 系 人：柳先生</w:t>
            </w:r>
          </w:p>
          <w:p w14:paraId="1B880F6D">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    话：0398-8829296</w:t>
            </w:r>
          </w:p>
        </w:tc>
      </w:tr>
      <w:tr w14:paraId="26E2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598C0F8">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pacing w:val="11"/>
                <w:sz w:val="24"/>
                <w:szCs w:val="24"/>
                <w:highlight w:val="none"/>
              </w:rPr>
              <w:t>2</w:t>
            </w:r>
          </w:p>
        </w:tc>
        <w:tc>
          <w:tcPr>
            <w:tcW w:w="1878" w:type="dxa"/>
            <w:tcBorders>
              <w:top w:val="single" w:color="auto" w:sz="4" w:space="0"/>
              <w:left w:val="nil"/>
              <w:bottom w:val="single" w:color="auto" w:sz="4" w:space="0"/>
              <w:right w:val="single" w:color="auto" w:sz="4" w:space="0"/>
            </w:tcBorders>
            <w:noWrap w:val="0"/>
            <w:vAlign w:val="center"/>
          </w:tcPr>
          <w:p w14:paraId="25E85F69">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代理机构</w:t>
            </w:r>
          </w:p>
        </w:tc>
        <w:tc>
          <w:tcPr>
            <w:tcW w:w="6986" w:type="dxa"/>
            <w:tcBorders>
              <w:top w:val="single" w:color="auto" w:sz="4" w:space="0"/>
              <w:left w:val="nil"/>
              <w:bottom w:val="single" w:color="auto" w:sz="4" w:space="0"/>
              <w:right w:val="single" w:color="auto" w:sz="4" w:space="0"/>
            </w:tcBorders>
            <w:noWrap w:val="0"/>
            <w:vAlign w:val="center"/>
          </w:tcPr>
          <w:p w14:paraId="668E5EF0">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代理机构：河南精开咨询有限公司</w:t>
            </w:r>
          </w:p>
          <w:p w14:paraId="14385541">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地    址：河南省三门峡市经济开发区分陕路与北环路交叉口向西200米开发区双创园B栋306</w:t>
            </w:r>
          </w:p>
          <w:p w14:paraId="5E1BFBEC">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联 系 人：白先生</w:t>
            </w:r>
          </w:p>
          <w:p w14:paraId="1E58821F">
            <w:pPr>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联系电话：19253988110</w:t>
            </w:r>
          </w:p>
        </w:tc>
      </w:tr>
      <w:tr w14:paraId="0F8C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6E55BE8A">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pacing w:val="11"/>
                <w:sz w:val="24"/>
                <w:szCs w:val="24"/>
                <w:highlight w:val="none"/>
              </w:rPr>
              <w:t>3</w:t>
            </w:r>
          </w:p>
        </w:tc>
        <w:tc>
          <w:tcPr>
            <w:tcW w:w="1878" w:type="dxa"/>
            <w:tcBorders>
              <w:top w:val="single" w:color="auto" w:sz="4" w:space="0"/>
              <w:left w:val="nil"/>
              <w:bottom w:val="single" w:color="auto" w:sz="4" w:space="0"/>
              <w:right w:val="single" w:color="auto" w:sz="4" w:space="0"/>
            </w:tcBorders>
            <w:noWrap w:val="0"/>
            <w:vAlign w:val="center"/>
          </w:tcPr>
          <w:p w14:paraId="0DC188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86" w:type="dxa"/>
            <w:tcBorders>
              <w:top w:val="single" w:color="auto" w:sz="4" w:space="0"/>
              <w:left w:val="nil"/>
              <w:bottom w:val="single" w:color="auto" w:sz="4" w:space="0"/>
              <w:right w:val="single" w:color="auto" w:sz="4" w:space="0"/>
            </w:tcBorders>
            <w:noWrap w:val="0"/>
            <w:vAlign w:val="center"/>
          </w:tcPr>
          <w:p w14:paraId="67E3BDBA">
            <w:pPr>
              <w:widowControl/>
              <w:spacing w:line="360" w:lineRule="auto"/>
              <w:jc w:val="left"/>
              <w:rPr>
                <w:rFonts w:hint="eastAsia" w:ascii="宋体" w:hAnsi="宋体" w:eastAsia="宋体" w:cs="宋体"/>
                <w:bCs/>
                <w:color w:val="auto"/>
                <w:kern w:val="0"/>
                <w:sz w:val="24"/>
                <w:szCs w:val="24"/>
                <w:highlight w:val="none"/>
              </w:rPr>
            </w:pPr>
            <w:r>
              <w:rPr>
                <w:rFonts w:hint="eastAsia" w:ascii="宋体" w:hAnsi="宋体" w:cs="宋体"/>
                <w:snapToGrid w:val="0"/>
                <w:color w:val="auto"/>
                <w:sz w:val="24"/>
                <w:szCs w:val="24"/>
                <w:highlight w:val="none"/>
                <w:lang w:eastAsia="zh-CN"/>
              </w:rPr>
              <w:t>灵宝市“十五五”规划编制项目</w:t>
            </w:r>
          </w:p>
        </w:tc>
      </w:tr>
      <w:tr w14:paraId="4F6D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4E71BF6D">
            <w:pPr>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000000"/>
                <w:spacing w:val="11"/>
                <w:sz w:val="24"/>
                <w:szCs w:val="24"/>
                <w:highlight w:val="none"/>
              </w:rPr>
              <w:t>4</w:t>
            </w:r>
          </w:p>
        </w:tc>
        <w:tc>
          <w:tcPr>
            <w:tcW w:w="1878" w:type="dxa"/>
            <w:tcBorders>
              <w:top w:val="single" w:color="auto" w:sz="4" w:space="0"/>
              <w:left w:val="nil"/>
              <w:bottom w:val="single" w:color="auto" w:sz="4" w:space="0"/>
              <w:right w:val="single" w:color="auto" w:sz="4" w:space="0"/>
            </w:tcBorders>
            <w:noWrap w:val="0"/>
            <w:vAlign w:val="center"/>
          </w:tcPr>
          <w:p w14:paraId="5D7C97D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建设地点</w:t>
            </w:r>
          </w:p>
        </w:tc>
        <w:tc>
          <w:tcPr>
            <w:tcW w:w="6986" w:type="dxa"/>
            <w:tcBorders>
              <w:top w:val="single" w:color="auto" w:sz="4" w:space="0"/>
              <w:left w:val="nil"/>
              <w:bottom w:val="single" w:color="auto" w:sz="4" w:space="0"/>
              <w:right w:val="single" w:color="auto" w:sz="4" w:space="0"/>
            </w:tcBorders>
            <w:noWrap w:val="0"/>
            <w:vAlign w:val="center"/>
          </w:tcPr>
          <w:p w14:paraId="1133C7C8">
            <w:pPr>
              <w:widowControl/>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snapToGrid w:val="0"/>
                <w:color w:val="auto"/>
                <w:sz w:val="24"/>
                <w:szCs w:val="24"/>
                <w:highlight w:val="none"/>
              </w:rPr>
              <w:t>灵宝市</w:t>
            </w:r>
          </w:p>
        </w:tc>
      </w:tr>
      <w:tr w14:paraId="54ED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16794FD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5</w:t>
            </w:r>
          </w:p>
        </w:tc>
        <w:tc>
          <w:tcPr>
            <w:tcW w:w="1878" w:type="dxa"/>
            <w:tcBorders>
              <w:top w:val="single" w:color="auto" w:sz="4" w:space="0"/>
              <w:left w:val="nil"/>
              <w:bottom w:val="single" w:color="auto" w:sz="4" w:space="0"/>
              <w:right w:val="single" w:color="auto" w:sz="4" w:space="0"/>
            </w:tcBorders>
            <w:noWrap w:val="0"/>
            <w:vAlign w:val="center"/>
          </w:tcPr>
          <w:p w14:paraId="093ADBD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w:t>
            </w:r>
          </w:p>
        </w:tc>
        <w:tc>
          <w:tcPr>
            <w:tcW w:w="6986" w:type="dxa"/>
            <w:tcBorders>
              <w:top w:val="single" w:color="auto" w:sz="4" w:space="0"/>
              <w:left w:val="nil"/>
              <w:bottom w:val="single" w:color="auto" w:sz="4" w:space="0"/>
              <w:right w:val="single" w:color="auto" w:sz="4" w:space="0"/>
            </w:tcBorders>
            <w:noWrap w:val="0"/>
            <w:vAlign w:val="center"/>
          </w:tcPr>
          <w:p w14:paraId="25E7829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财政资金、已落实。</w:t>
            </w:r>
          </w:p>
        </w:tc>
      </w:tr>
      <w:tr w14:paraId="7C93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605DE22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1"/>
                <w:sz w:val="24"/>
                <w:szCs w:val="24"/>
                <w:highlight w:val="none"/>
              </w:rPr>
              <w:t>6</w:t>
            </w:r>
          </w:p>
        </w:tc>
        <w:tc>
          <w:tcPr>
            <w:tcW w:w="1878" w:type="dxa"/>
            <w:tcBorders>
              <w:top w:val="single" w:color="auto" w:sz="4" w:space="0"/>
              <w:left w:val="nil"/>
              <w:bottom w:val="single" w:color="auto" w:sz="4" w:space="0"/>
              <w:right w:val="single" w:color="auto" w:sz="4" w:space="0"/>
            </w:tcBorders>
            <w:noWrap w:val="0"/>
            <w:vAlign w:val="center"/>
          </w:tcPr>
          <w:p w14:paraId="61E34BF7">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范围</w:t>
            </w:r>
          </w:p>
        </w:tc>
        <w:tc>
          <w:tcPr>
            <w:tcW w:w="6986" w:type="dxa"/>
            <w:tcBorders>
              <w:top w:val="single" w:color="auto" w:sz="4" w:space="0"/>
              <w:left w:val="nil"/>
              <w:bottom w:val="single" w:color="auto" w:sz="4" w:space="0"/>
              <w:right w:val="single" w:color="auto" w:sz="4" w:space="0"/>
            </w:tcBorders>
            <w:noWrap w:val="0"/>
            <w:vAlign w:val="center"/>
          </w:tcPr>
          <w:p w14:paraId="58593B20">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见第一章“竞争性磋商公告”</w:t>
            </w:r>
          </w:p>
        </w:tc>
      </w:tr>
      <w:tr w14:paraId="683F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FDD4A8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7</w:t>
            </w:r>
          </w:p>
        </w:tc>
        <w:tc>
          <w:tcPr>
            <w:tcW w:w="1878" w:type="dxa"/>
            <w:tcBorders>
              <w:top w:val="single" w:color="auto" w:sz="4" w:space="0"/>
              <w:left w:val="nil"/>
              <w:bottom w:val="single" w:color="auto" w:sz="4" w:space="0"/>
              <w:right w:val="single" w:color="auto" w:sz="4" w:space="0"/>
            </w:tcBorders>
            <w:noWrap w:val="0"/>
            <w:vAlign w:val="center"/>
          </w:tcPr>
          <w:p w14:paraId="10416BDD">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周期</w:t>
            </w:r>
          </w:p>
        </w:tc>
        <w:tc>
          <w:tcPr>
            <w:tcW w:w="6986" w:type="dxa"/>
            <w:tcBorders>
              <w:top w:val="single" w:color="auto" w:sz="4" w:space="0"/>
              <w:left w:val="nil"/>
              <w:bottom w:val="single" w:color="auto" w:sz="4" w:space="0"/>
              <w:right w:val="single" w:color="auto" w:sz="4" w:space="0"/>
            </w:tcBorders>
            <w:noWrap w:val="0"/>
            <w:vAlign w:val="center"/>
          </w:tcPr>
          <w:p w14:paraId="585BFC1F">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见第一章“竞争性磋商公告”</w:t>
            </w:r>
          </w:p>
        </w:tc>
      </w:tr>
      <w:tr w14:paraId="31A6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BB597F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8</w:t>
            </w:r>
          </w:p>
        </w:tc>
        <w:tc>
          <w:tcPr>
            <w:tcW w:w="1878" w:type="dxa"/>
            <w:tcBorders>
              <w:top w:val="single" w:color="auto" w:sz="4" w:space="0"/>
              <w:left w:val="nil"/>
              <w:bottom w:val="single" w:color="auto" w:sz="4" w:space="0"/>
              <w:right w:val="single" w:color="auto" w:sz="4" w:space="0"/>
            </w:tcBorders>
            <w:noWrap w:val="0"/>
            <w:vAlign w:val="center"/>
          </w:tcPr>
          <w:p w14:paraId="34D69947">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w:t>
            </w:r>
          </w:p>
        </w:tc>
        <w:tc>
          <w:tcPr>
            <w:tcW w:w="6986" w:type="dxa"/>
            <w:tcBorders>
              <w:top w:val="single" w:color="auto" w:sz="4" w:space="0"/>
              <w:left w:val="nil"/>
              <w:bottom w:val="single" w:color="auto" w:sz="4" w:space="0"/>
              <w:right w:val="single" w:color="auto" w:sz="4" w:space="0"/>
            </w:tcBorders>
            <w:noWrap w:val="0"/>
            <w:vAlign w:val="center"/>
          </w:tcPr>
          <w:p w14:paraId="534540E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见第一章“竞争性磋商公告”</w:t>
            </w:r>
          </w:p>
        </w:tc>
      </w:tr>
      <w:tr w14:paraId="0AFF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4B6B4EC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9</w:t>
            </w:r>
          </w:p>
        </w:tc>
        <w:tc>
          <w:tcPr>
            <w:tcW w:w="1878" w:type="dxa"/>
            <w:tcBorders>
              <w:top w:val="single" w:color="auto" w:sz="4" w:space="0"/>
              <w:left w:val="nil"/>
              <w:bottom w:val="single" w:color="auto" w:sz="4" w:space="0"/>
              <w:right w:val="single" w:color="auto" w:sz="4" w:space="0"/>
            </w:tcBorders>
            <w:noWrap w:val="0"/>
            <w:vAlign w:val="center"/>
          </w:tcPr>
          <w:p w14:paraId="00E2620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响应人资质条件、能力和信誉</w:t>
            </w:r>
          </w:p>
        </w:tc>
        <w:tc>
          <w:tcPr>
            <w:tcW w:w="6986" w:type="dxa"/>
            <w:tcBorders>
              <w:top w:val="single" w:color="auto" w:sz="4" w:space="0"/>
              <w:left w:val="nil"/>
              <w:bottom w:val="single" w:color="auto" w:sz="4" w:space="0"/>
              <w:right w:val="single" w:color="auto" w:sz="4" w:space="0"/>
            </w:tcBorders>
            <w:noWrap w:val="0"/>
            <w:vAlign w:val="center"/>
          </w:tcPr>
          <w:p w14:paraId="340A81AF">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见第一章“竞争性磋商公告”</w:t>
            </w:r>
          </w:p>
        </w:tc>
      </w:tr>
      <w:tr w14:paraId="26CB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199FE">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10</w:t>
            </w:r>
          </w:p>
        </w:tc>
        <w:tc>
          <w:tcPr>
            <w:tcW w:w="1878" w:type="dxa"/>
            <w:tcBorders>
              <w:top w:val="single" w:color="auto" w:sz="4" w:space="0"/>
              <w:left w:val="nil"/>
              <w:bottom w:val="single" w:color="auto" w:sz="4" w:space="0"/>
              <w:right w:val="single" w:color="auto" w:sz="4" w:space="0"/>
            </w:tcBorders>
            <w:noWrap w:val="0"/>
            <w:vAlign w:val="center"/>
          </w:tcPr>
          <w:p w14:paraId="1C510F0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付款方式</w:t>
            </w:r>
          </w:p>
        </w:tc>
        <w:tc>
          <w:tcPr>
            <w:tcW w:w="6986" w:type="dxa"/>
            <w:tcBorders>
              <w:top w:val="single" w:color="auto" w:sz="4" w:space="0"/>
              <w:left w:val="nil"/>
              <w:bottom w:val="single" w:color="auto" w:sz="4" w:space="0"/>
              <w:right w:val="single" w:color="auto" w:sz="4" w:space="0"/>
            </w:tcBorders>
            <w:noWrap w:val="0"/>
            <w:vAlign w:val="center"/>
          </w:tcPr>
          <w:p w14:paraId="64D7C749">
            <w:pPr>
              <w:adjustRightInd w:val="0"/>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000000"/>
                <w:sz w:val="24"/>
                <w:szCs w:val="24"/>
                <w:highlight w:val="none"/>
              </w:rPr>
              <w:t>中标后合同中约定</w:t>
            </w:r>
          </w:p>
        </w:tc>
      </w:tr>
      <w:tr w14:paraId="7514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711106">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11</w:t>
            </w:r>
          </w:p>
        </w:tc>
        <w:tc>
          <w:tcPr>
            <w:tcW w:w="1878" w:type="dxa"/>
            <w:tcBorders>
              <w:top w:val="single" w:color="auto" w:sz="4" w:space="0"/>
              <w:left w:val="nil"/>
              <w:bottom w:val="single" w:color="auto" w:sz="4" w:space="0"/>
              <w:right w:val="single" w:color="auto" w:sz="4" w:space="0"/>
            </w:tcBorders>
            <w:noWrap w:val="0"/>
            <w:vAlign w:val="center"/>
          </w:tcPr>
          <w:p w14:paraId="5C5A93A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6986" w:type="dxa"/>
            <w:tcBorders>
              <w:top w:val="single" w:color="auto" w:sz="4" w:space="0"/>
              <w:left w:val="nil"/>
              <w:bottom w:val="single" w:color="auto" w:sz="4" w:space="0"/>
              <w:right w:val="single" w:color="auto" w:sz="4" w:space="0"/>
            </w:tcBorders>
            <w:noWrap w:val="0"/>
            <w:vAlign w:val="center"/>
          </w:tcPr>
          <w:p w14:paraId="705A970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3865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5A8330">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12</w:t>
            </w:r>
          </w:p>
        </w:tc>
        <w:tc>
          <w:tcPr>
            <w:tcW w:w="1878" w:type="dxa"/>
            <w:tcBorders>
              <w:top w:val="single" w:color="auto" w:sz="4" w:space="0"/>
              <w:left w:val="nil"/>
              <w:bottom w:val="single" w:color="auto" w:sz="4" w:space="0"/>
              <w:right w:val="single" w:color="auto" w:sz="4" w:space="0"/>
            </w:tcBorders>
            <w:noWrap w:val="0"/>
            <w:vAlign w:val="center"/>
          </w:tcPr>
          <w:p w14:paraId="03649965">
            <w:pPr>
              <w:adjustRightInd w:val="0"/>
              <w:snapToGrid w:val="0"/>
              <w:spacing w:line="36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踏勘现场</w:t>
            </w:r>
          </w:p>
        </w:tc>
        <w:tc>
          <w:tcPr>
            <w:tcW w:w="6986" w:type="dxa"/>
            <w:tcBorders>
              <w:top w:val="single" w:color="auto" w:sz="4" w:space="0"/>
              <w:left w:val="nil"/>
              <w:bottom w:val="single" w:color="auto" w:sz="4" w:space="0"/>
              <w:right w:val="single" w:color="auto" w:sz="4" w:space="0"/>
            </w:tcBorders>
            <w:noWrap w:val="0"/>
            <w:vAlign w:val="center"/>
          </w:tcPr>
          <w:p w14:paraId="79C6205B">
            <w:pPr>
              <w:adjustRightInd w:val="0"/>
              <w:snapToGrid w:val="0"/>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不组织，</w:t>
            </w:r>
            <w:r>
              <w:rPr>
                <w:rFonts w:hint="eastAsia" w:ascii="宋体" w:hAnsi="宋体" w:eastAsia="宋体" w:cs="宋体"/>
                <w:color w:val="000000"/>
                <w:sz w:val="24"/>
                <w:szCs w:val="24"/>
                <w:highlight w:val="none"/>
                <w:lang w:eastAsia="zh-CN"/>
              </w:rPr>
              <w:t>响应人</w:t>
            </w:r>
            <w:r>
              <w:rPr>
                <w:rFonts w:hint="eastAsia" w:ascii="宋体" w:hAnsi="宋体" w:eastAsia="宋体" w:cs="宋体"/>
                <w:color w:val="000000"/>
                <w:sz w:val="24"/>
                <w:szCs w:val="24"/>
                <w:highlight w:val="none"/>
              </w:rPr>
              <w:t>可自行组织踏勘现场并负责在踏勘现场中所发生的人员安全</w:t>
            </w:r>
          </w:p>
        </w:tc>
      </w:tr>
      <w:tr w14:paraId="7EAB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43DC4F">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13</w:t>
            </w:r>
          </w:p>
        </w:tc>
        <w:tc>
          <w:tcPr>
            <w:tcW w:w="1878" w:type="dxa"/>
            <w:tcBorders>
              <w:top w:val="single" w:color="auto" w:sz="4" w:space="0"/>
              <w:left w:val="nil"/>
              <w:bottom w:val="single" w:color="auto" w:sz="4" w:space="0"/>
              <w:right w:val="single" w:color="auto" w:sz="4" w:space="0"/>
            </w:tcBorders>
            <w:noWrap w:val="0"/>
            <w:vAlign w:val="center"/>
          </w:tcPr>
          <w:p w14:paraId="5D5A699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磋商预备会</w:t>
            </w:r>
          </w:p>
        </w:tc>
        <w:tc>
          <w:tcPr>
            <w:tcW w:w="6986" w:type="dxa"/>
            <w:tcBorders>
              <w:top w:val="single" w:color="auto" w:sz="4" w:space="0"/>
              <w:left w:val="nil"/>
              <w:bottom w:val="single" w:color="auto" w:sz="4" w:space="0"/>
              <w:right w:val="single" w:color="auto" w:sz="4" w:space="0"/>
            </w:tcBorders>
            <w:noWrap w:val="0"/>
            <w:vAlign w:val="center"/>
          </w:tcPr>
          <w:p w14:paraId="6E0C8000">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tc>
      </w:tr>
      <w:tr w14:paraId="286D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B5D2CD">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14</w:t>
            </w:r>
          </w:p>
        </w:tc>
        <w:tc>
          <w:tcPr>
            <w:tcW w:w="1878" w:type="dxa"/>
            <w:tcBorders>
              <w:top w:val="single" w:color="auto" w:sz="4" w:space="0"/>
              <w:left w:val="nil"/>
              <w:bottom w:val="single" w:color="auto" w:sz="4" w:space="0"/>
              <w:right w:val="single" w:color="auto" w:sz="4" w:space="0"/>
            </w:tcBorders>
            <w:noWrap w:val="0"/>
            <w:vAlign w:val="center"/>
          </w:tcPr>
          <w:p w14:paraId="475160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  包</w:t>
            </w:r>
          </w:p>
        </w:tc>
        <w:tc>
          <w:tcPr>
            <w:tcW w:w="6986" w:type="dxa"/>
            <w:tcBorders>
              <w:top w:val="single" w:color="auto" w:sz="4" w:space="0"/>
              <w:left w:val="nil"/>
              <w:bottom w:val="single" w:color="auto" w:sz="4" w:space="0"/>
              <w:right w:val="single" w:color="auto" w:sz="4" w:space="0"/>
            </w:tcBorders>
            <w:noWrap w:val="0"/>
            <w:vAlign w:val="center"/>
          </w:tcPr>
          <w:p w14:paraId="43DBA09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1CF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C24950">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15</w:t>
            </w:r>
          </w:p>
        </w:tc>
        <w:tc>
          <w:tcPr>
            <w:tcW w:w="1878" w:type="dxa"/>
            <w:tcBorders>
              <w:top w:val="single" w:color="auto" w:sz="4" w:space="0"/>
              <w:left w:val="nil"/>
              <w:bottom w:val="single" w:color="auto" w:sz="4" w:space="0"/>
              <w:right w:val="single" w:color="auto" w:sz="4" w:space="0"/>
            </w:tcBorders>
            <w:noWrap w:val="0"/>
            <w:vAlign w:val="center"/>
          </w:tcPr>
          <w:p w14:paraId="0050B5A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  离</w:t>
            </w:r>
          </w:p>
        </w:tc>
        <w:tc>
          <w:tcPr>
            <w:tcW w:w="6986" w:type="dxa"/>
            <w:tcBorders>
              <w:top w:val="single" w:color="auto" w:sz="4" w:space="0"/>
              <w:left w:val="nil"/>
              <w:bottom w:val="single" w:color="auto" w:sz="4" w:space="0"/>
              <w:right w:val="single" w:color="auto" w:sz="4" w:space="0"/>
            </w:tcBorders>
            <w:noWrap w:val="0"/>
            <w:vAlign w:val="center"/>
          </w:tcPr>
          <w:p w14:paraId="51D205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58F8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10BA75">
            <w:pPr>
              <w:adjustRightInd w:val="0"/>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spacing w:val="11"/>
                <w:sz w:val="24"/>
                <w:szCs w:val="24"/>
                <w:highlight w:val="none"/>
              </w:rPr>
              <w:t>16</w:t>
            </w:r>
          </w:p>
        </w:tc>
        <w:tc>
          <w:tcPr>
            <w:tcW w:w="1878" w:type="dxa"/>
            <w:tcBorders>
              <w:top w:val="single" w:color="auto" w:sz="4" w:space="0"/>
              <w:left w:val="nil"/>
              <w:bottom w:val="single" w:color="auto" w:sz="4" w:space="0"/>
              <w:right w:val="single" w:color="auto" w:sz="4" w:space="0"/>
            </w:tcBorders>
            <w:noWrap w:val="0"/>
            <w:vAlign w:val="center"/>
          </w:tcPr>
          <w:p w14:paraId="7DF72C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构成磋商文件的其他材料</w:t>
            </w:r>
          </w:p>
        </w:tc>
        <w:tc>
          <w:tcPr>
            <w:tcW w:w="6986" w:type="dxa"/>
            <w:tcBorders>
              <w:top w:val="single" w:color="auto" w:sz="4" w:space="0"/>
              <w:left w:val="nil"/>
              <w:bottom w:val="single" w:color="auto" w:sz="4" w:space="0"/>
              <w:right w:val="single" w:color="auto" w:sz="4" w:space="0"/>
            </w:tcBorders>
            <w:noWrap w:val="0"/>
            <w:vAlign w:val="center"/>
          </w:tcPr>
          <w:p w14:paraId="4B77CB6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对竞争性磋商文件所作的澄清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含答疑）、修改，补充构成竞争性磋商文件的组成部分。</w:t>
            </w:r>
          </w:p>
        </w:tc>
      </w:tr>
      <w:tr w14:paraId="3690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2EA1111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17</w:t>
            </w:r>
          </w:p>
        </w:tc>
        <w:tc>
          <w:tcPr>
            <w:tcW w:w="1878" w:type="dxa"/>
            <w:tcBorders>
              <w:top w:val="single" w:color="auto" w:sz="4" w:space="0"/>
              <w:left w:val="nil"/>
              <w:bottom w:val="single" w:color="auto" w:sz="4" w:space="0"/>
              <w:right w:val="single" w:color="auto" w:sz="4" w:space="0"/>
            </w:tcBorders>
            <w:noWrap w:val="0"/>
            <w:vAlign w:val="center"/>
          </w:tcPr>
          <w:p w14:paraId="102C7ED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响应人要求澄清竞争性磋商文件的截止时间</w:t>
            </w:r>
          </w:p>
        </w:tc>
        <w:tc>
          <w:tcPr>
            <w:tcW w:w="6986" w:type="dxa"/>
            <w:tcBorders>
              <w:top w:val="single" w:color="auto" w:sz="4" w:space="0"/>
              <w:left w:val="nil"/>
              <w:bottom w:val="single" w:color="auto" w:sz="4" w:space="0"/>
              <w:right w:val="single" w:color="auto" w:sz="4" w:space="0"/>
            </w:tcBorders>
            <w:noWrap w:val="0"/>
            <w:vAlign w:val="center"/>
          </w:tcPr>
          <w:p w14:paraId="2F075AE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响应文件递交截止时间5日前</w:t>
            </w:r>
          </w:p>
        </w:tc>
      </w:tr>
      <w:tr w14:paraId="4405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2F82CD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18</w:t>
            </w:r>
          </w:p>
        </w:tc>
        <w:tc>
          <w:tcPr>
            <w:tcW w:w="1878" w:type="dxa"/>
            <w:tcBorders>
              <w:top w:val="single" w:color="auto" w:sz="4" w:space="0"/>
              <w:left w:val="nil"/>
              <w:bottom w:val="single" w:color="auto" w:sz="4" w:space="0"/>
              <w:right w:val="single" w:color="auto" w:sz="4" w:space="0"/>
            </w:tcBorders>
            <w:noWrap w:val="0"/>
            <w:vAlign w:val="center"/>
          </w:tcPr>
          <w:p w14:paraId="0278D119">
            <w:pPr>
              <w:spacing w:line="360" w:lineRule="auto"/>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响应文件递</w:t>
            </w:r>
          </w:p>
          <w:p w14:paraId="0DBB645F">
            <w:pPr>
              <w:spacing w:line="360" w:lineRule="auto"/>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交截止时间</w:t>
            </w:r>
          </w:p>
        </w:tc>
        <w:tc>
          <w:tcPr>
            <w:tcW w:w="6986" w:type="dxa"/>
            <w:tcBorders>
              <w:top w:val="single" w:color="auto" w:sz="4" w:space="0"/>
              <w:left w:val="nil"/>
              <w:bottom w:val="single" w:color="auto" w:sz="4" w:space="0"/>
              <w:right w:val="single" w:color="auto" w:sz="4" w:space="0"/>
            </w:tcBorders>
            <w:noWrap w:val="0"/>
            <w:vAlign w:val="center"/>
          </w:tcPr>
          <w:p w14:paraId="6F8573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见第一章“竞争性磋商公告”</w:t>
            </w:r>
          </w:p>
        </w:tc>
      </w:tr>
      <w:tr w14:paraId="3577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088F3CC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19</w:t>
            </w:r>
          </w:p>
        </w:tc>
        <w:tc>
          <w:tcPr>
            <w:tcW w:w="1878" w:type="dxa"/>
            <w:tcBorders>
              <w:top w:val="single" w:color="auto" w:sz="4" w:space="0"/>
              <w:left w:val="nil"/>
              <w:bottom w:val="single" w:color="auto" w:sz="4" w:space="0"/>
              <w:right w:val="single" w:color="auto" w:sz="4" w:space="0"/>
            </w:tcBorders>
            <w:noWrap w:val="0"/>
            <w:vAlign w:val="center"/>
          </w:tcPr>
          <w:p w14:paraId="48D3D99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响应人确认收到竞争性磋商文件澄清的时间</w:t>
            </w:r>
          </w:p>
        </w:tc>
        <w:tc>
          <w:tcPr>
            <w:tcW w:w="6986" w:type="dxa"/>
            <w:tcBorders>
              <w:top w:val="single" w:color="auto" w:sz="4" w:space="0"/>
              <w:left w:val="nil"/>
              <w:bottom w:val="single" w:color="auto" w:sz="4" w:space="0"/>
              <w:right w:val="single" w:color="auto" w:sz="4" w:space="0"/>
            </w:tcBorders>
            <w:noWrap w:val="0"/>
            <w:vAlign w:val="center"/>
          </w:tcPr>
          <w:p w14:paraId="25B7FE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在收到相应澄清文件后</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小时内</w:t>
            </w:r>
          </w:p>
        </w:tc>
      </w:tr>
      <w:tr w14:paraId="10BD1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46C8D4C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20</w:t>
            </w:r>
          </w:p>
        </w:tc>
        <w:tc>
          <w:tcPr>
            <w:tcW w:w="1878" w:type="dxa"/>
            <w:tcBorders>
              <w:top w:val="single" w:color="auto" w:sz="4" w:space="0"/>
              <w:left w:val="nil"/>
              <w:bottom w:val="single" w:color="auto" w:sz="4" w:space="0"/>
              <w:right w:val="single" w:color="auto" w:sz="4" w:space="0"/>
            </w:tcBorders>
            <w:noWrap w:val="0"/>
            <w:vAlign w:val="center"/>
          </w:tcPr>
          <w:p w14:paraId="592D612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响应人确认收到竞争性磋商文件修改的时间</w:t>
            </w:r>
          </w:p>
        </w:tc>
        <w:tc>
          <w:tcPr>
            <w:tcW w:w="6986" w:type="dxa"/>
            <w:tcBorders>
              <w:top w:val="single" w:color="auto" w:sz="4" w:space="0"/>
              <w:left w:val="nil"/>
              <w:bottom w:val="single" w:color="auto" w:sz="4" w:space="0"/>
              <w:right w:val="single" w:color="auto" w:sz="4" w:space="0"/>
            </w:tcBorders>
            <w:noWrap w:val="0"/>
            <w:vAlign w:val="center"/>
          </w:tcPr>
          <w:p w14:paraId="724254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在收到相应修改文件后</w:t>
            </w:r>
            <w:r>
              <w:rPr>
                <w:rFonts w:hint="eastAsia" w:ascii="宋体" w:hAnsi="宋体" w:eastAsia="宋体" w:cs="宋体"/>
                <w:color w:val="auto"/>
                <w:sz w:val="24"/>
                <w:szCs w:val="24"/>
                <w:highlight w:val="none"/>
                <w:u w:val="single"/>
              </w:rPr>
              <w:t xml:space="preserve"> 24</w:t>
            </w:r>
            <w:r>
              <w:rPr>
                <w:rFonts w:hint="eastAsia" w:ascii="宋体" w:hAnsi="宋体" w:eastAsia="宋体" w:cs="宋体"/>
                <w:color w:val="auto"/>
                <w:sz w:val="24"/>
                <w:szCs w:val="24"/>
                <w:highlight w:val="none"/>
              </w:rPr>
              <w:t>小时内</w:t>
            </w:r>
          </w:p>
        </w:tc>
      </w:tr>
      <w:tr w14:paraId="4B92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F45CA2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21</w:t>
            </w:r>
          </w:p>
        </w:tc>
        <w:tc>
          <w:tcPr>
            <w:tcW w:w="1878" w:type="dxa"/>
            <w:tcBorders>
              <w:top w:val="single" w:color="auto" w:sz="4" w:space="0"/>
              <w:left w:val="nil"/>
              <w:bottom w:val="single" w:color="auto" w:sz="4" w:space="0"/>
              <w:right w:val="single" w:color="auto" w:sz="4" w:space="0"/>
            </w:tcBorders>
            <w:noWrap w:val="0"/>
            <w:vAlign w:val="center"/>
          </w:tcPr>
          <w:p w14:paraId="2AE7327B">
            <w:pP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p>
        </w:tc>
        <w:tc>
          <w:tcPr>
            <w:tcW w:w="6986" w:type="dxa"/>
            <w:tcBorders>
              <w:top w:val="single" w:color="auto" w:sz="4" w:space="0"/>
              <w:left w:val="nil"/>
              <w:bottom w:val="single" w:color="auto" w:sz="4" w:space="0"/>
              <w:right w:val="single" w:color="auto" w:sz="4" w:space="0"/>
            </w:tcBorders>
            <w:noWrap w:val="0"/>
            <w:vAlign w:val="top"/>
          </w:tcPr>
          <w:p w14:paraId="743D8FC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按照《河南省财政厅关于优化政府采购营商环境有关问题的通知》（豫财购[2019]4号文）的要求本项目不再收取</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保证金。</w:t>
            </w:r>
          </w:p>
        </w:tc>
      </w:tr>
      <w:tr w14:paraId="39AF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DB108B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22</w:t>
            </w:r>
          </w:p>
        </w:tc>
        <w:tc>
          <w:tcPr>
            <w:tcW w:w="1878" w:type="dxa"/>
            <w:tcBorders>
              <w:top w:val="single" w:color="auto" w:sz="4" w:space="0"/>
              <w:left w:val="nil"/>
              <w:bottom w:val="single" w:color="auto" w:sz="4" w:space="0"/>
              <w:right w:val="single" w:color="auto" w:sz="4" w:space="0"/>
            </w:tcBorders>
            <w:noWrap w:val="0"/>
            <w:vAlign w:val="center"/>
          </w:tcPr>
          <w:p w14:paraId="50EEC7B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磋商有效期</w:t>
            </w:r>
          </w:p>
        </w:tc>
        <w:tc>
          <w:tcPr>
            <w:tcW w:w="6986" w:type="dxa"/>
            <w:tcBorders>
              <w:top w:val="single" w:color="auto" w:sz="4" w:space="0"/>
              <w:left w:val="nil"/>
              <w:bottom w:val="single" w:color="auto" w:sz="4" w:space="0"/>
              <w:right w:val="single" w:color="auto" w:sz="4" w:space="0"/>
            </w:tcBorders>
            <w:noWrap w:val="0"/>
            <w:vAlign w:val="center"/>
          </w:tcPr>
          <w:p w14:paraId="44175D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磋商截止之日起60日历天</w:t>
            </w:r>
          </w:p>
        </w:tc>
      </w:tr>
      <w:tr w14:paraId="0679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66D1731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23</w:t>
            </w:r>
          </w:p>
        </w:tc>
        <w:tc>
          <w:tcPr>
            <w:tcW w:w="1878" w:type="dxa"/>
            <w:tcBorders>
              <w:top w:val="single" w:color="auto" w:sz="4" w:space="0"/>
              <w:left w:val="nil"/>
              <w:bottom w:val="single" w:color="auto" w:sz="4" w:space="0"/>
              <w:right w:val="single" w:color="auto" w:sz="4" w:space="0"/>
            </w:tcBorders>
            <w:noWrap w:val="0"/>
            <w:vAlign w:val="center"/>
          </w:tcPr>
          <w:p w14:paraId="17BC6C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近年完成的类似项目的年份要求</w:t>
            </w:r>
          </w:p>
        </w:tc>
        <w:tc>
          <w:tcPr>
            <w:tcW w:w="6986" w:type="dxa"/>
            <w:tcBorders>
              <w:top w:val="single" w:color="auto" w:sz="4" w:space="0"/>
              <w:left w:val="nil"/>
              <w:bottom w:val="single" w:color="auto" w:sz="4" w:space="0"/>
              <w:right w:val="single" w:color="auto" w:sz="4" w:space="0"/>
            </w:tcBorders>
            <w:noWrap w:val="0"/>
            <w:vAlign w:val="center"/>
          </w:tcPr>
          <w:p w14:paraId="1FFA76B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近</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日以来</w:t>
            </w:r>
          </w:p>
        </w:tc>
      </w:tr>
      <w:tr w14:paraId="696A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648A2D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24</w:t>
            </w:r>
          </w:p>
        </w:tc>
        <w:tc>
          <w:tcPr>
            <w:tcW w:w="1878" w:type="dxa"/>
            <w:tcBorders>
              <w:top w:val="single" w:color="auto" w:sz="4" w:space="0"/>
              <w:left w:val="nil"/>
              <w:bottom w:val="single" w:color="auto" w:sz="4" w:space="0"/>
              <w:right w:val="single" w:color="auto" w:sz="4" w:space="0"/>
            </w:tcBorders>
            <w:noWrap w:val="0"/>
            <w:vAlign w:val="center"/>
          </w:tcPr>
          <w:p w14:paraId="4749B70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是否允许递交备选磋商方案</w:t>
            </w:r>
          </w:p>
        </w:tc>
        <w:tc>
          <w:tcPr>
            <w:tcW w:w="6986" w:type="dxa"/>
            <w:tcBorders>
              <w:top w:val="single" w:color="auto" w:sz="4" w:space="0"/>
              <w:left w:val="nil"/>
              <w:bottom w:val="single" w:color="auto" w:sz="4" w:space="0"/>
              <w:right w:val="single" w:color="auto" w:sz="4" w:space="0"/>
            </w:tcBorders>
            <w:noWrap w:val="0"/>
            <w:vAlign w:val="center"/>
          </w:tcPr>
          <w:p w14:paraId="1FC2D3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5FBA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A813AF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25</w:t>
            </w:r>
          </w:p>
        </w:tc>
        <w:tc>
          <w:tcPr>
            <w:tcW w:w="1878" w:type="dxa"/>
            <w:tcBorders>
              <w:top w:val="single" w:color="auto" w:sz="4" w:space="0"/>
              <w:left w:val="nil"/>
              <w:bottom w:val="single" w:color="auto" w:sz="4" w:space="0"/>
              <w:right w:val="single" w:color="auto" w:sz="4" w:space="0"/>
            </w:tcBorders>
            <w:noWrap w:val="0"/>
            <w:vAlign w:val="center"/>
          </w:tcPr>
          <w:p w14:paraId="64B3D1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电子化响应文件的签章</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签字和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或）盖章要求</w:t>
            </w:r>
          </w:p>
        </w:tc>
        <w:tc>
          <w:tcPr>
            <w:tcW w:w="6986" w:type="dxa"/>
            <w:tcBorders>
              <w:top w:val="single" w:color="auto" w:sz="4" w:space="0"/>
              <w:left w:val="nil"/>
              <w:bottom w:val="single" w:color="auto" w:sz="4" w:space="0"/>
              <w:right w:val="single" w:color="auto" w:sz="4" w:space="0"/>
            </w:tcBorders>
            <w:noWrap w:val="0"/>
            <w:vAlign w:val="center"/>
          </w:tcPr>
          <w:p w14:paraId="1D632A9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电子化响应文件的签章：</w:t>
            </w:r>
          </w:p>
          <w:p w14:paraId="4E8A93D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1、响应人在生成电子化响应文件后，应对电子化响应文件进行签章，未对电子化响应文件进行签章的视为无效</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w:t>
            </w:r>
          </w:p>
          <w:p w14:paraId="2D56826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2、竞争性磋商文件中要求法定代表人或授权委托人盖章的，响应人在进行电子化响应文件签章时，以签盖法定代表人签章为准。</w:t>
            </w:r>
          </w:p>
          <w:p w14:paraId="0B46A3A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3、电子化响应文件工具请点击</w:t>
            </w:r>
            <w:r>
              <w:rPr>
                <w:rFonts w:hint="eastAsia" w:ascii="宋体" w:hAnsi="宋体" w:eastAsia="宋体" w:cs="宋体"/>
                <w:sz w:val="24"/>
                <w:szCs w:val="24"/>
                <w:highlight w:val="none"/>
              </w:rPr>
              <w:t>https://download.bqpoint.com/download/downloaddetail.html?SourceFrom=Ztb&amp;ZtbSoftXiaQuCode=1506&amp;ZtbSoftType=tballinclusive</w:t>
            </w:r>
            <w:r>
              <w:rPr>
                <w:rFonts w:hint="eastAsia" w:ascii="宋体" w:hAnsi="宋体" w:eastAsia="宋体" w:cs="宋体"/>
                <w:color w:val="auto"/>
                <w:sz w:val="24"/>
                <w:szCs w:val="24"/>
                <w:highlight w:val="none"/>
              </w:rPr>
              <w:t>进行下载。</w:t>
            </w:r>
          </w:p>
        </w:tc>
      </w:tr>
      <w:tr w14:paraId="50020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6BA3E7A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000000"/>
                <w:spacing w:val="11"/>
                <w:sz w:val="24"/>
                <w:szCs w:val="24"/>
                <w:highlight w:val="none"/>
              </w:rPr>
              <w:t>26</w:t>
            </w:r>
          </w:p>
        </w:tc>
        <w:tc>
          <w:tcPr>
            <w:tcW w:w="1878" w:type="dxa"/>
            <w:tcBorders>
              <w:top w:val="single" w:color="auto" w:sz="4" w:space="0"/>
              <w:left w:val="nil"/>
              <w:bottom w:val="single" w:color="auto" w:sz="4" w:space="0"/>
              <w:right w:val="single" w:color="auto" w:sz="4" w:space="0"/>
            </w:tcBorders>
            <w:noWrap w:val="0"/>
            <w:vAlign w:val="center"/>
          </w:tcPr>
          <w:p w14:paraId="5A03EA5A">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电子化响应文件的格式及上传</w:t>
            </w:r>
            <w:r>
              <w:rPr>
                <w:rFonts w:hint="eastAsia" w:ascii="宋体" w:hAnsi="宋体" w:cs="宋体"/>
                <w:sz w:val="24"/>
                <w:szCs w:val="24"/>
                <w:highlight w:val="none"/>
                <w:lang w:val="en-US" w:eastAsia="zh-CN"/>
              </w:rPr>
              <w:t>响应文件</w:t>
            </w:r>
          </w:p>
        </w:tc>
        <w:tc>
          <w:tcPr>
            <w:tcW w:w="6986" w:type="dxa"/>
            <w:tcBorders>
              <w:top w:val="single" w:color="auto" w:sz="4" w:space="0"/>
              <w:left w:val="nil"/>
              <w:bottom w:val="single" w:color="auto" w:sz="4" w:space="0"/>
              <w:right w:val="single" w:color="auto" w:sz="4" w:space="0"/>
            </w:tcBorders>
            <w:noWrap w:val="0"/>
            <w:vAlign w:val="center"/>
          </w:tcPr>
          <w:p w14:paraId="72C9093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所上传的电子化响应文件，应是通过中心</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制作系统制作的（</w:t>
            </w:r>
            <w:r>
              <w:rPr>
                <w:rFonts w:hint="eastAsia" w:ascii="宋体" w:hAnsi="宋体" w:cs="宋体"/>
                <w:color w:val="auto"/>
                <w:sz w:val="24"/>
                <w:szCs w:val="24"/>
                <w:highlight w:val="none"/>
                <w:lang w:eastAsia="zh-CN"/>
              </w:rPr>
              <w:t>响应文件</w:t>
            </w:r>
            <w:r>
              <w:rPr>
                <w:rFonts w:hint="eastAsia" w:ascii="宋体" w:hAnsi="宋体" w:eastAsia="宋体" w:cs="宋体"/>
                <w:color w:val="auto"/>
                <w:sz w:val="24"/>
                <w:szCs w:val="24"/>
                <w:highlight w:val="none"/>
              </w:rPr>
              <w:t>制作工具下载地址：</w:t>
            </w:r>
          </w:p>
          <w:p w14:paraId="2004B5A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ww.smxgzjy.cn/spweb/SMX/InformationCenter/indexMore.do?id=35e58aa6-98dd-41b5-b526-c8c629eeff3c），经过签章和加密后生成的电子版响应文件。生成的电子版响应文件包含用于响应文件上传的主文件和用于应急补救的响应文件备份文件，备份文件主要用于电子化开标出现技术问题后的补救。</w:t>
            </w:r>
          </w:p>
          <w:p w14:paraId="2270E7F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投报多个标段的，每个标段均要生成独立的电子响应文件。</w:t>
            </w:r>
          </w:p>
          <w:p w14:paraId="441B8D6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2、电子化响应文件应在</w:t>
            </w:r>
            <w:r>
              <w:rPr>
                <w:rFonts w:hint="eastAsia" w:ascii="宋体" w:hAnsi="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时间前成功上传至三门峡市公共资源电子化交易系统。至</w:t>
            </w:r>
            <w:r>
              <w:rPr>
                <w:rFonts w:hint="eastAsia" w:ascii="宋体" w:hAnsi="宋体" w:cs="宋体"/>
                <w:color w:val="auto"/>
                <w:sz w:val="24"/>
                <w:szCs w:val="24"/>
                <w:highlight w:val="none"/>
                <w:lang w:eastAsia="zh-CN"/>
              </w:rPr>
              <w:t>响应截止</w:t>
            </w:r>
            <w:r>
              <w:rPr>
                <w:rFonts w:hint="eastAsia" w:ascii="宋体" w:hAnsi="宋体" w:eastAsia="宋体" w:cs="宋体"/>
                <w:color w:val="auto"/>
                <w:sz w:val="24"/>
                <w:szCs w:val="24"/>
                <w:highlight w:val="none"/>
              </w:rPr>
              <w:t>时间止，仍未上传成功的电子化响应文件将不予接收。</w:t>
            </w:r>
          </w:p>
          <w:p w14:paraId="380138C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注：如按照电子化投标操作教材制作完成的电子化响应文件无法上传的，</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应在</w:t>
            </w:r>
            <w:r>
              <w:rPr>
                <w:rFonts w:hint="eastAsia" w:ascii="宋体" w:hAnsi="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时间前尽早的联系中心技术人员，以便有充分的时间进行处理。</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应充分考虑到处理技术问题和上传数据等工作所需的时间问题，响应文件未在</w:t>
            </w:r>
            <w:r>
              <w:rPr>
                <w:rFonts w:hint="eastAsia" w:ascii="宋体" w:hAnsi="宋体" w:cs="宋体"/>
                <w:color w:val="auto"/>
                <w:sz w:val="24"/>
                <w:szCs w:val="24"/>
                <w:highlight w:val="none"/>
                <w:lang w:eastAsia="zh-CN"/>
              </w:rPr>
              <w:t>响应截止</w:t>
            </w:r>
            <w:r>
              <w:rPr>
                <w:rFonts w:hint="eastAsia" w:ascii="宋体" w:hAnsi="宋体" w:eastAsia="宋体" w:cs="宋体"/>
                <w:color w:val="auto"/>
                <w:sz w:val="24"/>
                <w:szCs w:val="24"/>
                <w:highlight w:val="none"/>
              </w:rPr>
              <w:t>时间前成功上传的，其响应文件不予接收。</w:t>
            </w:r>
          </w:p>
          <w:p w14:paraId="0564455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技术联系电话：0398-3117871</w:t>
            </w:r>
          </w:p>
        </w:tc>
      </w:tr>
      <w:tr w14:paraId="7E8B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12AF3ED9">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000000"/>
                <w:spacing w:val="11"/>
                <w:sz w:val="24"/>
                <w:szCs w:val="24"/>
                <w:highlight w:val="none"/>
              </w:rPr>
              <w:t>27</w:t>
            </w:r>
          </w:p>
        </w:tc>
        <w:tc>
          <w:tcPr>
            <w:tcW w:w="1878" w:type="dxa"/>
            <w:tcBorders>
              <w:top w:val="single" w:color="auto" w:sz="4" w:space="0"/>
              <w:left w:val="nil"/>
              <w:bottom w:val="single" w:color="auto" w:sz="4" w:space="0"/>
              <w:right w:val="single" w:color="auto" w:sz="4" w:space="0"/>
            </w:tcBorders>
            <w:noWrap w:val="0"/>
            <w:vAlign w:val="center"/>
          </w:tcPr>
          <w:p w14:paraId="102B13D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递交响应文件地点</w:t>
            </w:r>
          </w:p>
        </w:tc>
        <w:tc>
          <w:tcPr>
            <w:tcW w:w="6986" w:type="dxa"/>
            <w:tcBorders>
              <w:top w:val="single" w:color="auto" w:sz="4" w:space="0"/>
              <w:left w:val="nil"/>
              <w:bottom w:val="single" w:color="auto" w:sz="4" w:space="0"/>
              <w:right w:val="single" w:color="auto" w:sz="4" w:space="0"/>
            </w:tcBorders>
            <w:noWrap w:val="0"/>
            <w:vAlign w:val="center"/>
          </w:tcPr>
          <w:p w14:paraId="0518E3C0">
            <w:pPr>
              <w:spacing w:before="180" w:beforeLines="50"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见第一章“竞争性磋商公告”</w:t>
            </w:r>
          </w:p>
        </w:tc>
      </w:tr>
      <w:tr w14:paraId="0AD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1D6A16F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28</w:t>
            </w:r>
          </w:p>
        </w:tc>
        <w:tc>
          <w:tcPr>
            <w:tcW w:w="1878" w:type="dxa"/>
            <w:tcBorders>
              <w:top w:val="single" w:color="auto" w:sz="4" w:space="0"/>
              <w:left w:val="nil"/>
              <w:bottom w:val="single" w:color="auto" w:sz="4" w:space="0"/>
              <w:right w:val="single" w:color="auto" w:sz="4" w:space="0"/>
            </w:tcBorders>
            <w:noWrap w:val="0"/>
            <w:vAlign w:val="center"/>
          </w:tcPr>
          <w:p w14:paraId="5E95432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是否退还响应文件</w:t>
            </w:r>
          </w:p>
        </w:tc>
        <w:tc>
          <w:tcPr>
            <w:tcW w:w="6986" w:type="dxa"/>
            <w:tcBorders>
              <w:top w:val="single" w:color="auto" w:sz="4" w:space="0"/>
              <w:left w:val="nil"/>
              <w:bottom w:val="single" w:color="auto" w:sz="4" w:space="0"/>
              <w:right w:val="single" w:color="auto" w:sz="4" w:space="0"/>
            </w:tcBorders>
            <w:noWrap w:val="0"/>
            <w:vAlign w:val="center"/>
          </w:tcPr>
          <w:p w14:paraId="6861585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14:paraId="0B21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21C0641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29</w:t>
            </w:r>
          </w:p>
        </w:tc>
        <w:tc>
          <w:tcPr>
            <w:tcW w:w="1878" w:type="dxa"/>
            <w:tcBorders>
              <w:top w:val="single" w:color="auto" w:sz="4" w:space="0"/>
              <w:left w:val="nil"/>
              <w:bottom w:val="single" w:color="auto" w:sz="4" w:space="0"/>
              <w:right w:val="single" w:color="auto" w:sz="4" w:space="0"/>
            </w:tcBorders>
            <w:noWrap w:val="0"/>
            <w:vAlign w:val="center"/>
          </w:tcPr>
          <w:p w14:paraId="2E6E388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磋商时间和地点</w:t>
            </w:r>
          </w:p>
        </w:tc>
        <w:tc>
          <w:tcPr>
            <w:tcW w:w="6986" w:type="dxa"/>
            <w:tcBorders>
              <w:top w:val="single" w:color="auto" w:sz="4" w:space="0"/>
              <w:left w:val="nil"/>
              <w:bottom w:val="single" w:color="auto" w:sz="4" w:space="0"/>
              <w:right w:val="single" w:color="auto" w:sz="4" w:space="0"/>
            </w:tcBorders>
            <w:noWrap w:val="0"/>
            <w:vAlign w:val="center"/>
          </w:tcPr>
          <w:p w14:paraId="00786815">
            <w:pPr>
              <w:spacing w:line="360" w:lineRule="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见第一章“竞争性磋商公告”</w:t>
            </w:r>
          </w:p>
        </w:tc>
      </w:tr>
      <w:tr w14:paraId="469A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2C16BC7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30</w:t>
            </w:r>
          </w:p>
        </w:tc>
        <w:tc>
          <w:tcPr>
            <w:tcW w:w="1878" w:type="dxa"/>
            <w:tcBorders>
              <w:top w:val="single" w:color="auto" w:sz="4" w:space="0"/>
              <w:left w:val="nil"/>
              <w:bottom w:val="single" w:color="auto" w:sz="4" w:space="0"/>
              <w:right w:val="single" w:color="auto" w:sz="4" w:space="0"/>
            </w:tcBorders>
            <w:noWrap w:val="0"/>
            <w:vAlign w:val="center"/>
          </w:tcPr>
          <w:p w14:paraId="1A4103B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开标顺序</w:t>
            </w:r>
          </w:p>
        </w:tc>
        <w:tc>
          <w:tcPr>
            <w:tcW w:w="6986" w:type="dxa"/>
            <w:tcBorders>
              <w:top w:val="single" w:color="auto" w:sz="4" w:space="0"/>
              <w:left w:val="nil"/>
              <w:bottom w:val="single" w:color="auto" w:sz="4" w:space="0"/>
              <w:right w:val="single" w:color="auto" w:sz="4" w:space="0"/>
            </w:tcBorders>
            <w:noWrap w:val="0"/>
            <w:vAlign w:val="center"/>
          </w:tcPr>
          <w:p w14:paraId="0ABA7039">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按电子响应文件上传的顺序开标</w:t>
            </w:r>
          </w:p>
        </w:tc>
      </w:tr>
      <w:tr w14:paraId="1278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60BA84E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31</w:t>
            </w:r>
          </w:p>
        </w:tc>
        <w:tc>
          <w:tcPr>
            <w:tcW w:w="1878" w:type="dxa"/>
            <w:tcBorders>
              <w:top w:val="single" w:color="auto" w:sz="4" w:space="0"/>
              <w:left w:val="nil"/>
              <w:bottom w:val="single" w:color="auto" w:sz="4" w:space="0"/>
              <w:right w:val="single" w:color="auto" w:sz="4" w:space="0"/>
            </w:tcBorders>
            <w:noWrap w:val="0"/>
            <w:vAlign w:val="center"/>
          </w:tcPr>
          <w:p w14:paraId="0A9F51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磋商小组的组建</w:t>
            </w:r>
          </w:p>
        </w:tc>
        <w:tc>
          <w:tcPr>
            <w:tcW w:w="6986" w:type="dxa"/>
            <w:tcBorders>
              <w:top w:val="single" w:color="auto" w:sz="4" w:space="0"/>
              <w:left w:val="nil"/>
              <w:bottom w:val="single" w:color="auto" w:sz="4" w:space="0"/>
              <w:right w:val="single" w:color="auto" w:sz="4" w:space="0"/>
            </w:tcBorders>
            <w:noWrap w:val="0"/>
            <w:vAlign w:val="center"/>
          </w:tcPr>
          <w:p w14:paraId="613EBD3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按照国家相关规定组建，磋商小组由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代表及有关技术、经济等方面的专家组成，成员为3人。其中：</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代表1人，技术和经济方面专家各1人（技术和经济方面专家从专家库抽取）</w:t>
            </w:r>
          </w:p>
        </w:tc>
      </w:tr>
      <w:tr w14:paraId="7E71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2AA939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p>
        </w:tc>
        <w:tc>
          <w:tcPr>
            <w:tcW w:w="1878" w:type="dxa"/>
            <w:tcBorders>
              <w:top w:val="single" w:color="auto" w:sz="4" w:space="0"/>
              <w:left w:val="nil"/>
              <w:bottom w:val="single" w:color="auto" w:sz="4" w:space="0"/>
              <w:right w:val="single" w:color="auto" w:sz="4" w:space="0"/>
            </w:tcBorders>
            <w:noWrap w:val="0"/>
            <w:vAlign w:val="center"/>
          </w:tcPr>
          <w:p w14:paraId="78C2EE36">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是否授权</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确定</w:t>
            </w:r>
            <w:r>
              <w:rPr>
                <w:rFonts w:hint="eastAsia" w:ascii="宋体" w:hAnsi="宋体" w:cs="宋体"/>
                <w:color w:val="auto"/>
                <w:sz w:val="24"/>
                <w:szCs w:val="24"/>
                <w:highlight w:val="none"/>
                <w:lang w:val="en-US" w:eastAsia="zh-CN"/>
              </w:rPr>
              <w:t>成交响应人</w:t>
            </w:r>
          </w:p>
        </w:tc>
        <w:tc>
          <w:tcPr>
            <w:tcW w:w="6986" w:type="dxa"/>
            <w:tcBorders>
              <w:top w:val="single" w:color="auto" w:sz="4" w:space="0"/>
              <w:left w:val="nil"/>
              <w:bottom w:val="single" w:color="auto" w:sz="4" w:space="0"/>
              <w:right w:val="single" w:color="auto" w:sz="4" w:space="0"/>
            </w:tcBorders>
            <w:noWrap w:val="0"/>
            <w:vAlign w:val="center"/>
          </w:tcPr>
          <w:p w14:paraId="2B92EF1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否，按顺序推荐成交候选人3名</w:t>
            </w:r>
          </w:p>
        </w:tc>
      </w:tr>
      <w:tr w14:paraId="30F7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CF50FDE">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pacing w:val="11"/>
                <w:sz w:val="24"/>
                <w:szCs w:val="24"/>
                <w:highlight w:val="none"/>
              </w:rPr>
              <w:t>33</w:t>
            </w:r>
          </w:p>
        </w:tc>
        <w:tc>
          <w:tcPr>
            <w:tcW w:w="1878" w:type="dxa"/>
            <w:tcBorders>
              <w:top w:val="single" w:color="auto" w:sz="4" w:space="0"/>
              <w:left w:val="nil"/>
              <w:bottom w:val="single" w:color="auto" w:sz="4" w:space="0"/>
              <w:right w:val="single" w:color="auto" w:sz="4" w:space="0"/>
            </w:tcBorders>
            <w:noWrap w:val="0"/>
            <w:vAlign w:val="center"/>
          </w:tcPr>
          <w:p w14:paraId="25CA8B0B">
            <w:pPr>
              <w:spacing w:after="0" w:line="360" w:lineRule="auto"/>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磋商文件费</w:t>
            </w:r>
          </w:p>
        </w:tc>
        <w:tc>
          <w:tcPr>
            <w:tcW w:w="6986" w:type="dxa"/>
            <w:tcBorders>
              <w:top w:val="single" w:color="auto" w:sz="4" w:space="0"/>
              <w:left w:val="nil"/>
              <w:bottom w:val="single" w:color="auto" w:sz="4" w:space="0"/>
              <w:right w:val="single" w:color="auto" w:sz="4" w:space="0"/>
            </w:tcBorders>
            <w:noWrap w:val="0"/>
            <w:vAlign w:val="center"/>
          </w:tcPr>
          <w:p w14:paraId="28FFAD24">
            <w:pPr>
              <w:spacing w:after="0" w:line="36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根据《关于进一步加强公共资源交易管理持续优化营商环境的通知》（三公管办〔2020〕2号）文件的要求,磋商文件费用不再收取。</w:t>
            </w:r>
          </w:p>
        </w:tc>
      </w:tr>
      <w:tr w14:paraId="78F8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7E2E8ED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34</w:t>
            </w:r>
          </w:p>
        </w:tc>
        <w:tc>
          <w:tcPr>
            <w:tcW w:w="1878" w:type="dxa"/>
            <w:tcBorders>
              <w:top w:val="single" w:color="auto" w:sz="4" w:space="0"/>
              <w:left w:val="nil"/>
              <w:bottom w:val="single" w:color="auto" w:sz="4" w:space="0"/>
              <w:right w:val="single" w:color="auto" w:sz="4" w:space="0"/>
            </w:tcBorders>
            <w:noWrap w:val="0"/>
            <w:vAlign w:val="center"/>
          </w:tcPr>
          <w:p w14:paraId="44D19A54">
            <w:pPr>
              <w:spacing w:line="360" w:lineRule="auto"/>
              <w:jc w:val="center"/>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shd w:val="clear" w:color="auto" w:fill="FFFFFF"/>
              </w:rPr>
              <w:t>招标控制价</w:t>
            </w:r>
          </w:p>
        </w:tc>
        <w:tc>
          <w:tcPr>
            <w:tcW w:w="6986" w:type="dxa"/>
            <w:tcBorders>
              <w:top w:val="single" w:color="auto" w:sz="4" w:space="0"/>
              <w:left w:val="nil"/>
              <w:bottom w:val="single" w:color="auto" w:sz="4" w:space="0"/>
              <w:right w:val="single" w:color="auto" w:sz="4" w:space="0"/>
            </w:tcBorders>
            <w:noWrap w:val="0"/>
            <w:vAlign w:val="center"/>
          </w:tcPr>
          <w:p w14:paraId="4DE8376F">
            <w:pPr>
              <w:spacing w:line="360" w:lineRule="auto"/>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招标控制价：</w:t>
            </w:r>
            <w:r>
              <w:rPr>
                <w:rFonts w:hint="eastAsia" w:ascii="宋体" w:hAnsi="宋体" w:eastAsia="宋体" w:cs="宋体"/>
                <w:b/>
                <w:bCs w:val="0"/>
                <w:color w:val="auto"/>
                <w:sz w:val="24"/>
                <w:szCs w:val="24"/>
                <w:highlight w:val="none"/>
                <w:lang w:val="en-US" w:eastAsia="zh-CN"/>
              </w:rPr>
              <w:t>小写：400000</w:t>
            </w:r>
            <w:r>
              <w:rPr>
                <w:rFonts w:hint="eastAsia" w:ascii="宋体" w:hAnsi="宋体" w:eastAsia="宋体" w:cs="宋体"/>
                <w:b/>
                <w:bCs w:val="0"/>
                <w:snapToGrid w:val="0"/>
                <w:color w:val="auto"/>
                <w:sz w:val="24"/>
                <w:szCs w:val="24"/>
                <w:highlight w:val="none"/>
                <w:lang w:eastAsia="zh-CN"/>
              </w:rPr>
              <w:t>.00</w:t>
            </w:r>
            <w:r>
              <w:rPr>
                <w:rFonts w:hint="eastAsia" w:ascii="宋体" w:hAnsi="宋体" w:eastAsia="宋体" w:cs="宋体"/>
                <w:b/>
                <w:bCs w:val="0"/>
                <w:color w:val="auto"/>
                <w:sz w:val="24"/>
                <w:szCs w:val="24"/>
                <w:highlight w:val="none"/>
                <w:lang w:val="en-US" w:eastAsia="zh-CN"/>
              </w:rPr>
              <w:t>元，大写：</w:t>
            </w:r>
            <w:r>
              <w:rPr>
                <w:rFonts w:hint="eastAsia" w:ascii="宋体" w:hAnsi="宋体" w:cs="宋体"/>
                <w:b/>
                <w:bCs w:val="0"/>
                <w:color w:val="auto"/>
                <w:sz w:val="24"/>
                <w:szCs w:val="24"/>
                <w:highlight w:val="none"/>
                <w:lang w:val="en-US" w:eastAsia="zh-CN"/>
              </w:rPr>
              <w:t>肆拾万元整</w:t>
            </w:r>
            <w:r>
              <w:rPr>
                <w:rFonts w:hint="eastAsia" w:ascii="宋体" w:hAnsi="宋体" w:eastAsia="宋体" w:cs="宋体"/>
                <w:b/>
                <w:bCs w:val="0"/>
                <w:color w:val="auto"/>
                <w:sz w:val="24"/>
                <w:szCs w:val="24"/>
                <w:highlight w:val="none"/>
                <w:lang w:val="en-US" w:eastAsia="zh-CN"/>
              </w:rPr>
              <w:t>；</w:t>
            </w:r>
          </w:p>
          <w:p w14:paraId="2AAED839">
            <w:pPr>
              <w:spacing w:line="360" w:lineRule="auto"/>
              <w:jc w:val="lef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rPr>
              <w:t>高于招标控制价的其磋商将被否决。一次报价和最终报价高于招标控制价的其磋商将被否决。</w:t>
            </w:r>
          </w:p>
        </w:tc>
      </w:tr>
      <w:tr w14:paraId="4C85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5051178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35</w:t>
            </w:r>
          </w:p>
        </w:tc>
        <w:tc>
          <w:tcPr>
            <w:tcW w:w="1878" w:type="dxa"/>
            <w:tcBorders>
              <w:top w:val="single" w:color="auto" w:sz="4" w:space="0"/>
              <w:left w:val="nil"/>
              <w:bottom w:val="single" w:color="auto" w:sz="4" w:space="0"/>
              <w:right w:val="single" w:color="auto" w:sz="4" w:space="0"/>
            </w:tcBorders>
            <w:noWrap w:val="0"/>
            <w:vAlign w:val="center"/>
          </w:tcPr>
          <w:p w14:paraId="2F96DD0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竞争性磋商文件的解释</w:t>
            </w:r>
          </w:p>
        </w:tc>
        <w:tc>
          <w:tcPr>
            <w:tcW w:w="6986" w:type="dxa"/>
            <w:tcBorders>
              <w:top w:val="single" w:color="auto" w:sz="4" w:space="0"/>
              <w:left w:val="nil"/>
              <w:bottom w:val="single" w:color="auto" w:sz="4" w:space="0"/>
              <w:right w:val="single" w:color="auto" w:sz="4" w:space="0"/>
            </w:tcBorders>
            <w:noWrap w:val="0"/>
            <w:vAlign w:val="center"/>
          </w:tcPr>
          <w:p w14:paraId="23F2B4C1">
            <w:pPr>
              <w:spacing w:line="360" w:lineRule="auto"/>
              <w:ind w:right="-153" w:rightChars="-73"/>
              <w:jc w:val="left"/>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采购磋商阶段的规定，按竞争性磋商公告、</w:t>
            </w:r>
            <w:r>
              <w:rPr>
                <w:rFonts w:hint="eastAsia" w:ascii="宋体" w:hAnsi="宋体" w:eastAsia="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负责解释。</w:t>
            </w:r>
          </w:p>
        </w:tc>
      </w:tr>
      <w:tr w14:paraId="5117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0E1713EE">
            <w:pPr>
              <w:adjustRightInd w:val="0"/>
              <w:snapToGrid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000000"/>
                <w:spacing w:val="11"/>
                <w:sz w:val="24"/>
                <w:szCs w:val="24"/>
                <w:highlight w:val="none"/>
              </w:rPr>
              <w:t>36</w:t>
            </w:r>
          </w:p>
        </w:tc>
        <w:tc>
          <w:tcPr>
            <w:tcW w:w="1878" w:type="dxa"/>
            <w:tcBorders>
              <w:top w:val="single" w:color="auto" w:sz="4" w:space="0"/>
              <w:left w:val="nil"/>
              <w:bottom w:val="single" w:color="auto" w:sz="4" w:space="0"/>
              <w:right w:val="single" w:color="auto" w:sz="4" w:space="0"/>
            </w:tcBorders>
            <w:noWrap w:val="0"/>
            <w:vAlign w:val="center"/>
          </w:tcPr>
          <w:p w14:paraId="5A6CC31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w:t>
            </w:r>
          </w:p>
        </w:tc>
        <w:tc>
          <w:tcPr>
            <w:tcW w:w="6986" w:type="dxa"/>
            <w:tcBorders>
              <w:top w:val="single" w:color="auto" w:sz="4" w:space="0"/>
              <w:left w:val="nil"/>
              <w:bottom w:val="single" w:color="auto" w:sz="4" w:space="0"/>
              <w:right w:val="single" w:color="auto" w:sz="4" w:space="0"/>
            </w:tcBorders>
            <w:noWrap w:val="0"/>
            <w:vAlign w:val="center"/>
          </w:tcPr>
          <w:p w14:paraId="24EEE140">
            <w:pPr>
              <w:spacing w:line="360" w:lineRule="auto"/>
              <w:ind w:right="-153" w:rightChars="-73"/>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需要解答的疑问以书面形式加盖单位公章递交至</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或代理机构，逾期提交的问题概不做回复。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将需要解答的内容以公告形式发至所有潜在响应人。</w:t>
            </w:r>
          </w:p>
        </w:tc>
      </w:tr>
      <w:tr w14:paraId="370A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B43D9B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spacing w:val="11"/>
                <w:sz w:val="24"/>
                <w:szCs w:val="24"/>
                <w:highlight w:val="none"/>
              </w:rPr>
              <w:t>37</w:t>
            </w:r>
          </w:p>
        </w:tc>
        <w:tc>
          <w:tcPr>
            <w:tcW w:w="1878" w:type="dxa"/>
            <w:tcBorders>
              <w:top w:val="single" w:color="auto" w:sz="4" w:space="0"/>
              <w:left w:val="nil"/>
              <w:bottom w:val="single" w:color="auto" w:sz="4" w:space="0"/>
              <w:right w:val="single" w:color="auto" w:sz="4" w:space="0"/>
            </w:tcBorders>
            <w:noWrap w:val="0"/>
            <w:vAlign w:val="center"/>
          </w:tcPr>
          <w:p w14:paraId="0FA785F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结果公示</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2D10B6A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《中国采购与招标网》、《河南省政府采购网》、《三门峡市公共资源交易中心网》</w:t>
            </w:r>
            <w:r>
              <w:rPr>
                <w:rFonts w:hint="eastAsia" w:ascii="宋体" w:hAnsi="宋体" w:eastAsia="宋体" w:cs="宋体"/>
                <w:color w:val="auto"/>
                <w:sz w:val="24"/>
                <w:szCs w:val="24"/>
                <w:highlight w:val="none"/>
              </w:rPr>
              <w:t>同时进行公示，公示期1个工作日。</w:t>
            </w:r>
          </w:p>
        </w:tc>
      </w:tr>
      <w:tr w14:paraId="7FB3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49DC5A7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38</w:t>
            </w:r>
          </w:p>
        </w:tc>
        <w:tc>
          <w:tcPr>
            <w:tcW w:w="1878" w:type="dxa"/>
            <w:tcBorders>
              <w:top w:val="single" w:color="auto" w:sz="4" w:space="0"/>
              <w:left w:val="nil"/>
              <w:bottom w:val="single" w:color="auto" w:sz="4" w:space="0"/>
              <w:right w:val="single" w:color="auto" w:sz="4" w:space="0"/>
            </w:tcBorders>
            <w:noWrap w:val="0"/>
            <w:vAlign w:val="center"/>
          </w:tcPr>
          <w:p w14:paraId="6A61B7C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知识产权</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458CD52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构成本竞争性磋商文件各个组成部分的文件，未经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书面同意，响应人不得擅自复印和用于非本招标项目所需的其他目的。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全部或者部分使用未中标人响应文件中的技术成果或技术方案时，</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征得其书面同意，并不得擅自复印或提供给第三人。</w:t>
            </w:r>
          </w:p>
        </w:tc>
      </w:tr>
      <w:tr w14:paraId="15A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08C88C4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39</w:t>
            </w:r>
          </w:p>
        </w:tc>
        <w:tc>
          <w:tcPr>
            <w:tcW w:w="1878" w:type="dxa"/>
            <w:tcBorders>
              <w:top w:val="single" w:color="auto" w:sz="4" w:space="0"/>
              <w:left w:val="nil"/>
              <w:bottom w:val="single" w:color="auto" w:sz="4" w:space="0"/>
              <w:right w:val="single" w:color="auto" w:sz="4" w:space="0"/>
            </w:tcBorders>
            <w:noWrap w:val="0"/>
            <w:vAlign w:val="center"/>
          </w:tcPr>
          <w:p w14:paraId="35E8639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重新招标的其他情形</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0E2F4A2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除响应人须知正文规定的情形外，除非已经产生中标候选人，在磋商有效期内同意延长磋商有效期的响应人少于三个的，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应当依法重新招标。</w:t>
            </w:r>
          </w:p>
        </w:tc>
      </w:tr>
      <w:tr w14:paraId="363C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3DFE681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40</w:t>
            </w:r>
          </w:p>
        </w:tc>
        <w:tc>
          <w:tcPr>
            <w:tcW w:w="1878" w:type="dxa"/>
            <w:tcBorders>
              <w:top w:val="single" w:color="auto" w:sz="4" w:space="0"/>
              <w:left w:val="nil"/>
              <w:bottom w:val="single" w:color="auto" w:sz="4" w:space="0"/>
              <w:right w:val="single" w:color="auto" w:sz="4" w:space="0"/>
            </w:tcBorders>
            <w:noWrap w:val="0"/>
            <w:vAlign w:val="center"/>
          </w:tcPr>
          <w:p w14:paraId="7AEAD0D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同义词语</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6CE8C676">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竞争性磋商文件</w:t>
            </w:r>
            <w:r>
              <w:rPr>
                <w:rFonts w:hint="eastAsia" w:ascii="宋体" w:hAnsi="宋体" w:eastAsia="宋体" w:cs="宋体"/>
                <w:color w:val="auto"/>
                <w:sz w:val="24"/>
                <w:szCs w:val="24"/>
                <w:highlight w:val="none"/>
                <w:lang w:val="en-US" w:eastAsia="zh-CN"/>
              </w:rPr>
              <w:t>和构成磋商文件组成部分</w:t>
            </w:r>
            <w:r>
              <w:rPr>
                <w:rFonts w:hint="eastAsia" w:ascii="宋体" w:hAnsi="宋体" w:eastAsia="宋体" w:cs="宋体"/>
                <w:color w:val="auto"/>
                <w:sz w:val="24"/>
                <w:szCs w:val="24"/>
                <w:highlight w:val="none"/>
              </w:rPr>
              <w:t>等章节中出现的措辞</w:t>
            </w:r>
            <w:r>
              <w:rPr>
                <w:rFonts w:hint="eastAsia" w:ascii="宋体" w:hAnsi="宋体" w:eastAsia="宋体" w:cs="宋体"/>
                <w:color w:val="auto"/>
                <w:sz w:val="24"/>
                <w:szCs w:val="24"/>
                <w:highlight w:val="none"/>
                <w:lang w:eastAsia="zh-CN"/>
              </w:rPr>
              <w:t>：</w:t>
            </w:r>
          </w:p>
          <w:p w14:paraId="70858AA4">
            <w:pPr>
              <w:numPr>
                <w:ilvl w:val="0"/>
                <w:numId w:val="0"/>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“发包人”和“承包人”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val="en-US" w:eastAsia="zh-CN"/>
              </w:rPr>
              <w:t>响应人</w:t>
            </w:r>
            <w:r>
              <w:rPr>
                <w:rFonts w:hint="eastAsia" w:ascii="宋体" w:hAnsi="宋体" w:eastAsia="宋体" w:cs="宋体"/>
                <w:color w:val="auto"/>
                <w:sz w:val="24"/>
                <w:szCs w:val="24"/>
                <w:highlight w:val="none"/>
              </w:rPr>
              <w:t>”在招标磋商阶段应当分别按“</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”和“响应人”进行理解。</w:t>
            </w:r>
          </w:p>
        </w:tc>
      </w:tr>
      <w:tr w14:paraId="488D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4FB6C17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lang w:val="en-US" w:eastAsia="zh-CN"/>
              </w:rPr>
              <w:t>41</w:t>
            </w:r>
          </w:p>
        </w:tc>
        <w:tc>
          <w:tcPr>
            <w:tcW w:w="1878" w:type="dxa"/>
            <w:tcBorders>
              <w:top w:val="single" w:color="auto" w:sz="4" w:space="0"/>
              <w:left w:val="nil"/>
              <w:bottom w:val="single" w:color="auto" w:sz="4" w:space="0"/>
              <w:right w:val="single" w:color="auto" w:sz="4" w:space="0"/>
            </w:tcBorders>
            <w:noWrap w:val="0"/>
            <w:vAlign w:val="center"/>
          </w:tcPr>
          <w:p w14:paraId="2B71381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EF3023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本项目的招标磋商活动及其相关当事人应当接受有管辖权的招标投标行政监督部门依法实施的监督。</w:t>
            </w:r>
          </w:p>
        </w:tc>
      </w:tr>
      <w:tr w14:paraId="6E32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112B5B83">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pacing w:val="11"/>
                <w:sz w:val="24"/>
                <w:szCs w:val="24"/>
                <w:highlight w:val="none"/>
                <w:lang w:val="en-US" w:eastAsia="zh-CN"/>
              </w:rPr>
              <w:t>42</w:t>
            </w:r>
          </w:p>
        </w:tc>
        <w:tc>
          <w:tcPr>
            <w:tcW w:w="1878" w:type="dxa"/>
            <w:tcBorders>
              <w:top w:val="single" w:color="auto" w:sz="4" w:space="0"/>
              <w:left w:val="nil"/>
              <w:bottom w:val="single" w:color="auto" w:sz="4" w:space="0"/>
              <w:right w:val="single" w:color="auto" w:sz="4" w:space="0"/>
            </w:tcBorders>
            <w:noWrap w:val="0"/>
            <w:vAlign w:val="center"/>
          </w:tcPr>
          <w:p w14:paraId="29C49D6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招标服务费</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47AC0C5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代理服务费按照河南省招标投标协会关于印发《河南省招标代理服务收费指导意见》的通知【豫招协（2023）002号】文件中招标代理服务收费标准收取。本项目代理服务费最终收费金额按中标后实际中标价的费率计算由中标单位支付。</w:t>
            </w:r>
          </w:p>
          <w:p w14:paraId="66D953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支付方式：基本账户对公转账</w:t>
            </w:r>
          </w:p>
          <w:p w14:paraId="631920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收款单位：河南精开咨询有限公司灵宝分公司</w:t>
            </w:r>
          </w:p>
          <w:p w14:paraId="3D868BE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开户行：中国银行股份有限公司灵宝桃林支行</w:t>
            </w:r>
          </w:p>
          <w:p w14:paraId="310C43B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账号：248196255393</w:t>
            </w:r>
          </w:p>
        </w:tc>
      </w:tr>
      <w:tr w14:paraId="45DC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restart"/>
            <w:tcBorders>
              <w:top w:val="single" w:color="auto" w:sz="4" w:space="0"/>
              <w:left w:val="single" w:color="auto" w:sz="4" w:space="0"/>
              <w:right w:val="single" w:color="auto" w:sz="4" w:space="0"/>
            </w:tcBorders>
            <w:noWrap w:val="0"/>
            <w:vAlign w:val="center"/>
          </w:tcPr>
          <w:p w14:paraId="2E398154">
            <w:pPr>
              <w:adjustRightInd w:val="0"/>
              <w:snapToGrid w:val="0"/>
              <w:spacing w:line="360" w:lineRule="auto"/>
              <w:jc w:val="center"/>
              <w:rPr>
                <w:rFonts w:hint="eastAsia" w:ascii="宋体" w:hAnsi="宋体" w:eastAsia="宋体" w:cs="宋体"/>
                <w:color w:val="000000"/>
                <w:spacing w:val="11"/>
                <w:sz w:val="24"/>
                <w:szCs w:val="24"/>
                <w:highlight w:val="none"/>
                <w:lang w:val="en-US" w:eastAsia="zh-CN"/>
              </w:rPr>
            </w:pPr>
            <w:r>
              <w:rPr>
                <w:rFonts w:hint="eastAsia" w:ascii="宋体" w:hAnsi="宋体" w:eastAsia="宋体" w:cs="宋体"/>
                <w:color w:val="000000"/>
                <w:spacing w:val="11"/>
                <w:sz w:val="24"/>
                <w:szCs w:val="24"/>
                <w:highlight w:val="none"/>
                <w:lang w:val="en-US" w:eastAsia="zh-CN"/>
              </w:rPr>
              <w:t>43</w:t>
            </w:r>
          </w:p>
        </w:tc>
        <w:tc>
          <w:tcPr>
            <w:tcW w:w="1878" w:type="dxa"/>
            <w:tcBorders>
              <w:top w:val="single" w:color="auto" w:sz="4" w:space="0"/>
              <w:left w:val="nil"/>
              <w:bottom w:val="single" w:color="auto" w:sz="4" w:space="0"/>
              <w:right w:val="single" w:color="auto" w:sz="4" w:space="0"/>
            </w:tcBorders>
            <w:noWrap w:val="0"/>
            <w:vAlign w:val="center"/>
          </w:tcPr>
          <w:p w14:paraId="2FCE28B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需要补充的其他内容</w:t>
            </w:r>
          </w:p>
        </w:tc>
        <w:tc>
          <w:tcPr>
            <w:tcW w:w="6986" w:type="dxa"/>
            <w:tcBorders>
              <w:top w:val="single" w:color="auto" w:sz="4" w:space="0"/>
              <w:left w:val="single" w:color="auto" w:sz="4" w:space="0"/>
              <w:bottom w:val="single" w:color="auto" w:sz="4" w:space="0"/>
              <w:right w:val="single" w:color="auto" w:sz="4" w:space="0"/>
            </w:tcBorders>
            <w:noWrap w:val="0"/>
            <w:vAlign w:val="top"/>
          </w:tcPr>
          <w:p w14:paraId="47B934F4">
            <w:pPr>
              <w:adjustRightInd w:val="0"/>
              <w:snapToGrid w:val="0"/>
              <w:spacing w:line="360" w:lineRule="auto"/>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1、</w:t>
            </w:r>
            <w:r>
              <w:rPr>
                <w:rFonts w:hint="eastAsia" w:ascii="宋体" w:hAnsi="宋体" w:cs="宋体"/>
                <w:color w:val="000000"/>
                <w:spacing w:val="11"/>
                <w:sz w:val="24"/>
                <w:szCs w:val="24"/>
                <w:highlight w:val="none"/>
                <w:lang w:eastAsia="zh-CN"/>
              </w:rPr>
              <w:t>响应人</w:t>
            </w:r>
            <w:r>
              <w:rPr>
                <w:rFonts w:hint="eastAsia" w:ascii="宋体" w:hAnsi="宋体" w:eastAsia="宋体" w:cs="宋体"/>
                <w:color w:val="000000"/>
                <w:spacing w:val="11"/>
                <w:sz w:val="24"/>
                <w:szCs w:val="24"/>
                <w:highlight w:val="none"/>
              </w:rPr>
              <w:t>需要开标前用CA在电子平台上上传电子</w:t>
            </w:r>
            <w:r>
              <w:rPr>
                <w:rFonts w:hint="eastAsia" w:ascii="宋体" w:hAnsi="宋体" w:cs="宋体"/>
                <w:color w:val="000000"/>
                <w:spacing w:val="11"/>
                <w:sz w:val="24"/>
                <w:szCs w:val="24"/>
                <w:highlight w:val="none"/>
                <w:lang w:eastAsia="zh-CN"/>
              </w:rPr>
              <w:t>响应文件</w:t>
            </w:r>
            <w:r>
              <w:rPr>
                <w:rFonts w:hint="eastAsia" w:ascii="宋体" w:hAnsi="宋体" w:eastAsia="宋体" w:cs="宋体"/>
                <w:color w:val="000000"/>
                <w:spacing w:val="11"/>
                <w:sz w:val="24"/>
                <w:szCs w:val="24"/>
                <w:highlight w:val="none"/>
              </w:rPr>
              <w:t>。</w:t>
            </w:r>
          </w:p>
          <w:p w14:paraId="1F2A8599">
            <w:pPr>
              <w:adjustRightInd w:val="0"/>
              <w:snapToGrid w:val="0"/>
              <w:spacing w:line="360" w:lineRule="auto"/>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2、开标时不再递交纸质文件。</w:t>
            </w:r>
          </w:p>
          <w:p w14:paraId="6B7BD81A">
            <w:pPr>
              <w:adjustRightInd w:val="0"/>
              <w:snapToGrid w:val="0"/>
              <w:spacing w:line="360" w:lineRule="auto"/>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3、</w:t>
            </w:r>
            <w:r>
              <w:rPr>
                <w:rFonts w:hint="eastAsia" w:ascii="宋体" w:hAnsi="宋体" w:eastAsia="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成交后必须向</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提供与所投相同的同质量、同品质的服务，如出现不一致的，</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有权取消其成交资格。</w:t>
            </w:r>
          </w:p>
          <w:p w14:paraId="1DD31DA6">
            <w:pPr>
              <w:adjustRightInd w:val="0"/>
              <w:snapToGrid w:val="0"/>
              <w:spacing w:line="360" w:lineRule="auto"/>
              <w:rPr>
                <w:rFonts w:hint="eastAsia" w:ascii="宋体" w:hAnsi="宋体" w:eastAsia="宋体" w:cs="宋体"/>
                <w:color w:val="000000"/>
                <w:spacing w:val="11"/>
                <w:sz w:val="24"/>
                <w:szCs w:val="24"/>
                <w:highlight w:val="none"/>
              </w:rPr>
            </w:pPr>
            <w:r>
              <w:rPr>
                <w:rFonts w:hint="eastAsia" w:ascii="宋体" w:hAnsi="宋体" w:eastAsia="宋体" w:cs="宋体"/>
                <w:color w:val="000000"/>
                <w:spacing w:val="11"/>
                <w:sz w:val="24"/>
                <w:szCs w:val="24"/>
                <w:highlight w:val="none"/>
              </w:rPr>
              <w:t>4、</w:t>
            </w:r>
            <w:r>
              <w:rPr>
                <w:rFonts w:hint="eastAsia" w:ascii="宋体" w:hAnsi="宋体" w:eastAsia="宋体" w:cs="宋体"/>
                <w:color w:val="000000"/>
                <w:spacing w:val="11"/>
                <w:sz w:val="24"/>
                <w:szCs w:val="24"/>
                <w:highlight w:val="none"/>
                <w:lang w:val="en-US" w:eastAsia="zh-CN"/>
              </w:rPr>
              <w:t>成交人</w:t>
            </w:r>
            <w:r>
              <w:rPr>
                <w:rFonts w:hint="eastAsia" w:ascii="宋体" w:hAnsi="宋体" w:eastAsia="宋体" w:cs="宋体"/>
                <w:color w:val="000000"/>
                <w:spacing w:val="11"/>
                <w:sz w:val="24"/>
                <w:szCs w:val="24"/>
                <w:highlight w:val="none"/>
              </w:rPr>
              <w:t>必须在规定时间内对</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进行服务，不得拖延。</w:t>
            </w:r>
          </w:p>
          <w:p w14:paraId="4BE9815C">
            <w:pPr>
              <w:adjustRightInd w:val="0"/>
              <w:snapToGrid w:val="0"/>
              <w:spacing w:line="360" w:lineRule="auto"/>
              <w:rPr>
                <w:rFonts w:hint="eastAsia" w:ascii="宋体" w:hAnsi="宋体" w:eastAsia="宋体" w:cs="宋体"/>
                <w:color w:val="000000"/>
                <w:spacing w:val="11"/>
                <w:sz w:val="24"/>
                <w:szCs w:val="24"/>
                <w:highlight w:val="none"/>
                <w:lang w:val="en-US" w:eastAsia="zh-CN"/>
              </w:rPr>
            </w:pPr>
            <w:r>
              <w:rPr>
                <w:rFonts w:hint="eastAsia" w:ascii="宋体" w:hAnsi="宋体" w:eastAsia="宋体" w:cs="宋体"/>
                <w:color w:val="000000"/>
                <w:spacing w:val="11"/>
                <w:sz w:val="24"/>
                <w:szCs w:val="24"/>
                <w:highlight w:val="none"/>
              </w:rPr>
              <w:t>5、磋商文件的最终解释权归</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w:t>
            </w:r>
          </w:p>
          <w:p w14:paraId="3E88D21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6、其它未尽事宜，按国家有关法律、法规执行。</w:t>
            </w:r>
          </w:p>
        </w:tc>
      </w:tr>
      <w:tr w14:paraId="1FDF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tcBorders>
              <w:left w:val="single" w:color="auto" w:sz="4" w:space="0"/>
              <w:right w:val="single" w:color="auto" w:sz="4" w:space="0"/>
            </w:tcBorders>
            <w:noWrap w:val="0"/>
            <w:vAlign w:val="center"/>
          </w:tcPr>
          <w:p w14:paraId="570F8F51">
            <w:pPr>
              <w:adjustRightInd w:val="0"/>
              <w:snapToGrid w:val="0"/>
              <w:spacing w:line="360" w:lineRule="auto"/>
              <w:jc w:val="center"/>
              <w:rPr>
                <w:rFonts w:hint="eastAsia" w:ascii="宋体" w:hAnsi="宋体" w:eastAsia="宋体" w:cs="宋体"/>
                <w:color w:val="000000"/>
                <w:spacing w:val="11"/>
                <w:sz w:val="24"/>
                <w:szCs w:val="24"/>
                <w:highlight w:val="none"/>
                <w:lang w:val="en-US" w:eastAsia="zh-CN"/>
              </w:rPr>
            </w:pPr>
          </w:p>
        </w:tc>
        <w:tc>
          <w:tcPr>
            <w:tcW w:w="1878" w:type="dxa"/>
            <w:tcBorders>
              <w:top w:val="single" w:color="auto" w:sz="4" w:space="0"/>
              <w:left w:val="nil"/>
              <w:bottom w:val="single" w:color="auto" w:sz="4" w:space="0"/>
              <w:right w:val="single" w:color="auto" w:sz="4" w:space="0"/>
            </w:tcBorders>
            <w:noWrap w:val="0"/>
            <w:vAlign w:val="center"/>
          </w:tcPr>
          <w:p w14:paraId="25BBC03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kern w:val="2"/>
                <w:sz w:val="24"/>
                <w:szCs w:val="24"/>
                <w:highlight w:val="none"/>
              </w:rPr>
              <w:t>三门峡市政府采购合同备案告知函</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455A3C8">
            <w:pPr>
              <w:adjustRightInd w:val="0"/>
              <w:snapToGrid w:val="0"/>
              <w:spacing w:line="360" w:lineRule="auto"/>
              <w:rPr>
                <w:rFonts w:hint="eastAsia" w:ascii="宋体" w:hAnsi="宋体" w:eastAsia="宋体" w:cs="宋体"/>
                <w:color w:val="000000"/>
                <w:spacing w:val="11"/>
                <w:sz w:val="24"/>
                <w:szCs w:val="24"/>
                <w:highlight w:val="none"/>
              </w:rPr>
            </w:pP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w:t>
            </w:r>
            <w:r>
              <w:rPr>
                <w:rFonts w:hint="eastAsia" w:ascii="宋体" w:hAnsi="宋体" w:eastAsia="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w:t>
            </w:r>
          </w:p>
          <w:p w14:paraId="453DC46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000000"/>
                <w:spacing w:val="11"/>
                <w:sz w:val="24"/>
                <w:szCs w:val="24"/>
                <w:highlight w:val="none"/>
              </w:rPr>
              <w:t>根据《三门峡市财政局关于市本级政府采购合同备案管理工作的通知》（三财购[2021]9号）规定，</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采购纳入集中采购目录的政府采购项目，应当在项目评审结束之日起，1个工作日内确定中标（成交）</w:t>
            </w:r>
            <w:r>
              <w:rPr>
                <w:rFonts w:hint="eastAsia" w:ascii="宋体" w:hAnsi="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，发布中标结果公告并发出中标通知书；自中标通知书发出之日起1个工作日内与中标（成交）</w:t>
            </w:r>
            <w:r>
              <w:rPr>
                <w:rFonts w:hint="eastAsia" w:ascii="宋体" w:hAnsi="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按照采购文件确定的事项与</w:t>
            </w:r>
            <w:r>
              <w:rPr>
                <w:rFonts w:hint="eastAsia" w:ascii="宋体" w:hAnsi="宋体" w:cs="宋体"/>
                <w:color w:val="000000"/>
                <w:spacing w:val="11"/>
                <w:sz w:val="24"/>
                <w:szCs w:val="24"/>
                <w:highlight w:val="none"/>
                <w:lang w:val="en-US" w:eastAsia="zh-CN"/>
              </w:rPr>
              <w:t>响应人</w:t>
            </w:r>
            <w:r>
              <w:rPr>
                <w:rFonts w:hint="eastAsia" w:ascii="宋体" w:hAnsi="宋体" w:eastAsia="宋体" w:cs="宋体"/>
                <w:color w:val="000000"/>
                <w:spacing w:val="11"/>
                <w:sz w:val="24"/>
                <w:szCs w:val="24"/>
                <w:highlight w:val="none"/>
              </w:rPr>
              <w:t>签订政府采购合同。</w:t>
            </w:r>
            <w:r>
              <w:rPr>
                <w:rFonts w:hint="eastAsia" w:ascii="宋体" w:hAnsi="宋体" w:cs="宋体"/>
                <w:color w:val="000000"/>
                <w:spacing w:val="11"/>
                <w:sz w:val="24"/>
                <w:szCs w:val="24"/>
                <w:highlight w:val="none"/>
                <w:lang w:eastAsia="zh-CN"/>
              </w:rPr>
              <w:t>采购人</w:t>
            </w:r>
            <w:r>
              <w:rPr>
                <w:rFonts w:hint="eastAsia" w:ascii="宋体" w:hAnsi="宋体" w:eastAsia="宋体" w:cs="宋体"/>
                <w:color w:val="000000"/>
                <w:spacing w:val="11"/>
                <w:sz w:val="24"/>
                <w:szCs w:val="24"/>
                <w:highlight w:val="none"/>
              </w:rPr>
              <w:t>需按照《三门峡市财政局关于市本级政府采购合同备案管理工作的通知》（三财购[2021]9号）的规定，认真实施合同公告及备案。</w:t>
            </w:r>
          </w:p>
        </w:tc>
      </w:tr>
      <w:tr w14:paraId="4E53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tcBorders>
              <w:left w:val="single" w:color="auto" w:sz="4" w:space="0"/>
              <w:right w:val="single" w:color="auto" w:sz="4" w:space="0"/>
            </w:tcBorders>
            <w:noWrap w:val="0"/>
            <w:vAlign w:val="center"/>
          </w:tcPr>
          <w:p w14:paraId="2DC26215">
            <w:pPr>
              <w:adjustRightInd w:val="0"/>
              <w:snapToGrid w:val="0"/>
              <w:spacing w:line="360" w:lineRule="auto"/>
              <w:jc w:val="center"/>
              <w:rPr>
                <w:rFonts w:hint="eastAsia" w:ascii="宋体" w:hAnsi="宋体" w:eastAsia="宋体" w:cs="宋体"/>
                <w:color w:val="000000"/>
                <w:spacing w:val="11"/>
                <w:sz w:val="24"/>
                <w:szCs w:val="24"/>
                <w:highlight w:val="none"/>
                <w:lang w:val="en-US" w:eastAsia="zh-CN"/>
              </w:rPr>
            </w:pPr>
          </w:p>
        </w:tc>
        <w:tc>
          <w:tcPr>
            <w:tcW w:w="1878" w:type="dxa"/>
            <w:tcBorders>
              <w:top w:val="single" w:color="auto" w:sz="4" w:space="0"/>
              <w:left w:val="nil"/>
              <w:bottom w:val="single" w:color="auto" w:sz="4" w:space="0"/>
              <w:right w:val="single" w:color="auto" w:sz="4" w:space="0"/>
            </w:tcBorders>
            <w:noWrap w:val="0"/>
            <w:vAlign w:val="center"/>
          </w:tcPr>
          <w:p w14:paraId="776CBA16">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sz w:val="24"/>
                <w:szCs w:val="24"/>
                <w:highlight w:val="none"/>
              </w:rPr>
              <w:t>履约担保</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8E4EBAB">
            <w:pPr>
              <w:spacing w:line="360" w:lineRule="auto"/>
              <w:rPr>
                <w:rFonts w:hint="eastAsia" w:ascii="宋体" w:hAnsi="宋体" w:eastAsia="宋体" w:cs="宋体"/>
                <w:color w:val="000000"/>
                <w:spacing w:val="11"/>
                <w:sz w:val="24"/>
                <w:szCs w:val="24"/>
                <w:highlight w:val="none"/>
              </w:rPr>
            </w:pPr>
            <w:r>
              <w:rPr>
                <w:rFonts w:hint="eastAsia" w:ascii="宋体" w:hAnsi="宋体" w:eastAsia="宋体" w:cs="宋体"/>
                <w:sz w:val="24"/>
                <w:szCs w:val="24"/>
                <w:highlight w:val="none"/>
              </w:rPr>
              <w:t>根据三门峡市财政局三财购【2021】14号文的规定，本项目不收取履约保证金</w:t>
            </w:r>
            <w:r>
              <w:rPr>
                <w:rFonts w:hint="eastAsia" w:ascii="宋体" w:hAnsi="宋体" w:eastAsia="宋体" w:cs="宋体"/>
                <w:bCs/>
                <w:sz w:val="24"/>
                <w:szCs w:val="24"/>
                <w:highlight w:val="none"/>
              </w:rPr>
              <w:t>。</w:t>
            </w:r>
          </w:p>
        </w:tc>
      </w:tr>
      <w:tr w14:paraId="7C64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vMerge w:val="continue"/>
            <w:tcBorders>
              <w:left w:val="single" w:color="auto" w:sz="4" w:space="0"/>
              <w:bottom w:val="single" w:color="auto" w:sz="4" w:space="0"/>
              <w:right w:val="single" w:color="auto" w:sz="4" w:space="0"/>
            </w:tcBorders>
            <w:noWrap w:val="0"/>
            <w:vAlign w:val="center"/>
          </w:tcPr>
          <w:p w14:paraId="6CB90D66">
            <w:pPr>
              <w:adjustRightInd w:val="0"/>
              <w:snapToGrid w:val="0"/>
              <w:spacing w:line="360" w:lineRule="auto"/>
              <w:jc w:val="center"/>
              <w:rPr>
                <w:rFonts w:hint="eastAsia" w:ascii="宋体" w:hAnsi="宋体" w:eastAsia="宋体" w:cs="宋体"/>
                <w:color w:val="000000"/>
                <w:spacing w:val="11"/>
                <w:sz w:val="24"/>
                <w:szCs w:val="24"/>
                <w:highlight w:val="none"/>
                <w:lang w:val="en-US" w:eastAsia="zh-CN"/>
              </w:rPr>
            </w:pPr>
          </w:p>
        </w:tc>
        <w:tc>
          <w:tcPr>
            <w:tcW w:w="1878" w:type="dxa"/>
            <w:tcBorders>
              <w:top w:val="single" w:color="auto" w:sz="4" w:space="0"/>
              <w:left w:val="nil"/>
              <w:bottom w:val="single" w:color="auto" w:sz="4" w:space="0"/>
              <w:right w:val="single" w:color="auto" w:sz="4" w:space="0"/>
            </w:tcBorders>
            <w:noWrap w:val="0"/>
            <w:vAlign w:val="center"/>
          </w:tcPr>
          <w:p w14:paraId="571C218A">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其他</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5D6A552">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pacing w:val="11"/>
                <w:sz w:val="24"/>
                <w:szCs w:val="24"/>
                <w:highlight w:val="none"/>
                <w:lang w:val="en-US" w:eastAsia="zh-CN"/>
              </w:rPr>
              <w:t>响应人</w:t>
            </w:r>
            <w:r>
              <w:rPr>
                <w:rFonts w:hint="eastAsia" w:ascii="宋体" w:hAnsi="宋体" w:eastAsia="宋体" w:cs="宋体"/>
                <w:color w:val="000000"/>
                <w:sz w:val="24"/>
                <w:szCs w:val="24"/>
                <w:highlight w:val="none"/>
              </w:rPr>
              <w:t>应仔细阅读操作手册，因</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操作不当等问题造成的无法下载磋商文件、无法投标等一切后果，由</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自行承担。</w:t>
            </w:r>
          </w:p>
          <w:p w14:paraId="417F793C">
            <w:pPr>
              <w:adjustRightInd w:val="0"/>
              <w:snapToGrid w:val="0"/>
              <w:spacing w:line="360" w:lineRule="auto"/>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2、磋商所发生一切费用由各</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自行承担，并承担相应的风险和责任。</w:t>
            </w:r>
          </w:p>
          <w:p w14:paraId="06BFC448">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r>
              <w:rPr>
                <w:rFonts w:hint="eastAsia" w:ascii="宋体" w:hAnsi="宋体" w:cs="宋体"/>
                <w:color w:val="000000"/>
                <w:sz w:val="24"/>
                <w:szCs w:val="24"/>
                <w:highlight w:val="none"/>
                <w:lang w:eastAsia="zh-CN"/>
              </w:rPr>
              <w:t>响应人</w:t>
            </w:r>
            <w:r>
              <w:rPr>
                <w:rFonts w:hint="eastAsia" w:ascii="宋体" w:hAnsi="宋体" w:eastAsia="宋体" w:cs="宋体"/>
                <w:color w:val="000000"/>
                <w:sz w:val="24"/>
                <w:szCs w:val="24"/>
                <w:highlight w:val="none"/>
              </w:rPr>
              <w:t>认为磋商文件、磋商过程和成交结果使自己的权益受到损害的,可以在知道或者应知其权益受到损害之日起七个工作日内，按照政府磋商质疑和投诉办法（中华人民共和国财政部令94号）以书面形式向</w:t>
            </w:r>
            <w:r>
              <w:rPr>
                <w:rFonts w:hint="eastAsia" w:ascii="宋体" w:hAnsi="宋体" w:cs="宋体"/>
                <w:color w:val="000000"/>
                <w:sz w:val="24"/>
                <w:szCs w:val="24"/>
                <w:highlight w:val="none"/>
                <w:lang w:eastAsia="zh-CN"/>
              </w:rPr>
              <w:t>采购人</w:t>
            </w:r>
            <w:r>
              <w:rPr>
                <w:rFonts w:hint="eastAsia" w:ascii="宋体" w:hAnsi="宋体" w:eastAsia="宋体" w:cs="宋体"/>
                <w:color w:val="000000"/>
                <w:sz w:val="24"/>
                <w:szCs w:val="24"/>
                <w:highlight w:val="none"/>
              </w:rPr>
              <w:t>或招标代理机构提出质疑（邮寄件、传真件不予受理），逾期不再接收。</w:t>
            </w:r>
          </w:p>
          <w:p w14:paraId="4ABEEBA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pacing w:val="11"/>
                <w:sz w:val="24"/>
                <w:szCs w:val="24"/>
                <w:highlight w:val="none"/>
              </w:rPr>
              <w:t>根据《河南省政府采购评审专家劳务报酬支付标准》的要求，业主代表不再获得评审劳务报酬。</w:t>
            </w:r>
          </w:p>
        </w:tc>
      </w:tr>
      <w:tr w14:paraId="5CE9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tcBorders>
              <w:top w:val="single" w:color="auto" w:sz="4" w:space="0"/>
              <w:left w:val="single" w:color="auto" w:sz="4" w:space="0"/>
              <w:bottom w:val="single" w:color="auto" w:sz="4" w:space="0"/>
              <w:right w:val="single" w:color="auto" w:sz="4" w:space="0"/>
            </w:tcBorders>
            <w:noWrap w:val="0"/>
            <w:vAlign w:val="center"/>
          </w:tcPr>
          <w:p w14:paraId="0890FAAB">
            <w:pPr>
              <w:adjustRightInd w:val="0"/>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spacing w:val="11"/>
                <w:sz w:val="24"/>
                <w:szCs w:val="24"/>
                <w:highlight w:val="none"/>
                <w:lang w:val="en-US" w:eastAsia="zh-CN"/>
              </w:rPr>
              <w:t>44</w:t>
            </w:r>
          </w:p>
        </w:tc>
        <w:tc>
          <w:tcPr>
            <w:tcW w:w="1878" w:type="dxa"/>
            <w:tcBorders>
              <w:top w:val="single" w:color="auto" w:sz="4" w:space="0"/>
              <w:left w:val="nil"/>
              <w:bottom w:val="single" w:color="auto" w:sz="4" w:space="0"/>
              <w:right w:val="single" w:color="auto" w:sz="4" w:space="0"/>
            </w:tcBorders>
            <w:noWrap w:val="0"/>
            <w:vAlign w:val="center"/>
          </w:tcPr>
          <w:p w14:paraId="0230B645">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电子化交易注意事项</w:t>
            </w:r>
          </w:p>
        </w:tc>
        <w:tc>
          <w:tcPr>
            <w:tcW w:w="6986" w:type="dxa"/>
            <w:tcBorders>
              <w:top w:val="single" w:color="auto" w:sz="4" w:space="0"/>
              <w:left w:val="single" w:color="auto" w:sz="4" w:space="0"/>
              <w:bottom w:val="single" w:color="auto" w:sz="4" w:space="0"/>
              <w:right w:val="single" w:color="auto" w:sz="4" w:space="0"/>
            </w:tcBorders>
            <w:noWrap w:val="0"/>
            <w:vAlign w:val="center"/>
          </w:tcPr>
          <w:p w14:paraId="17A6E53A">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1、本项目采用电子化、无纸化进行招标，</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应当在</w:t>
            </w:r>
            <w:r>
              <w:rPr>
                <w:rFonts w:hint="eastAsia" w:ascii="宋体" w:hAnsi="宋体" w:cs="宋体"/>
                <w:spacing w:val="5"/>
                <w:sz w:val="24"/>
                <w:szCs w:val="24"/>
                <w:highlight w:val="none"/>
                <w:lang w:val="en-US" w:eastAsia="zh-CN"/>
              </w:rPr>
              <w:t>磋商</w:t>
            </w:r>
            <w:r>
              <w:rPr>
                <w:rFonts w:hint="eastAsia" w:ascii="宋体" w:hAnsi="宋体" w:eastAsia="宋体" w:cs="宋体"/>
                <w:spacing w:val="5"/>
                <w:sz w:val="24"/>
                <w:szCs w:val="24"/>
                <w:highlight w:val="none"/>
              </w:rPr>
              <w:t>截止时间前，登陆不见面开标大厅选择登陆三门峡市公共资源电子招投标系统进行登陆（网址为</w:t>
            </w:r>
            <w:r>
              <w:rPr>
                <w:rFonts w:hint="eastAsia" w:ascii="宋体" w:hAnsi="宋体" w:eastAsia="宋体" w:cs="宋体"/>
                <w:sz w:val="24"/>
                <w:szCs w:val="24"/>
                <w:highlight w:val="none"/>
              </w:rPr>
              <w:t>http://120.194.249.36:10094/BidOpening/bidopeninghallaction/hall/login</w:t>
            </w:r>
            <w:r>
              <w:rPr>
                <w:rFonts w:hint="eastAsia" w:ascii="宋体" w:hAnsi="宋体" w:eastAsia="宋体" w:cs="宋体"/>
                <w:spacing w:val="5"/>
                <w:sz w:val="24"/>
                <w:szCs w:val="24"/>
                <w:highlight w:val="none"/>
              </w:rPr>
              <w:t>）,在线准时参加开标活动并进行响应文件解密等。每位</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的解密时间为开标时间起30分钟内完成。因</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原因未能解密、解密失败或解密超时的将被拒绝。</w:t>
            </w:r>
          </w:p>
          <w:p w14:paraId="579DFCBD">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2、电子化响应文件采用一次加密方式。开标时，由</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使用CA证书，在规定时间内对其电子化响应文件进行解密。每位</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的解密时间为开标时间起30分钟内，如在规定时间内未完成解密的，其响应文件不予开标、唱标。</w:t>
            </w:r>
          </w:p>
          <w:p w14:paraId="2B09E77F">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3、电子化响应文件异常情况的处理</w:t>
            </w:r>
          </w:p>
          <w:p w14:paraId="171960F5">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如出现</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的电子响应文件无法解密等异常情况，</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应及时致电中介服务机构说明。响应文件异常，按以下步骤进行处理：</w:t>
            </w:r>
          </w:p>
          <w:p w14:paraId="6A29FA8B">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（1）首先由技术人员进行问题排查。</w:t>
            </w:r>
          </w:p>
          <w:p w14:paraId="36D933DD">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（2）经技术人员排查后，是</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文件自身问题导致</w:t>
            </w:r>
            <w:r>
              <w:rPr>
                <w:rFonts w:hint="eastAsia" w:ascii="宋体" w:hAnsi="宋体" w:cs="宋体"/>
                <w:spacing w:val="5"/>
                <w:sz w:val="24"/>
                <w:szCs w:val="24"/>
                <w:highlight w:val="none"/>
                <w:lang w:eastAsia="zh-CN"/>
              </w:rPr>
              <w:t>响应文件</w:t>
            </w:r>
            <w:r>
              <w:rPr>
                <w:rFonts w:hint="eastAsia" w:ascii="宋体" w:hAnsi="宋体" w:eastAsia="宋体" w:cs="宋体"/>
                <w:spacing w:val="5"/>
                <w:sz w:val="24"/>
                <w:szCs w:val="24"/>
                <w:highlight w:val="none"/>
              </w:rPr>
              <w:t>无法解密的，该响应文件将不予接收、解密和唱标。开标会议继续进行。</w:t>
            </w:r>
          </w:p>
          <w:p w14:paraId="65DE39D5">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7F5A13C">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4、待所有</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响应文件解密完成后，由中介服务机构操作，对所有已解密响应文件进行唱标。</w:t>
            </w:r>
          </w:p>
          <w:p w14:paraId="49FED801">
            <w:pPr>
              <w:widowControl/>
              <w:spacing w:line="360" w:lineRule="auto"/>
              <w:rPr>
                <w:rFonts w:hint="eastAsia" w:ascii="宋体" w:hAnsi="宋体" w:eastAsia="宋体" w:cs="宋体"/>
                <w:spacing w:val="5"/>
                <w:sz w:val="24"/>
                <w:szCs w:val="24"/>
                <w:highlight w:val="none"/>
              </w:rPr>
            </w:pP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应保证在开标期间电话、电脑、网络能够正常工作，</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因停电、电脑病毒、网络堵塞等原因，未在规定的解密时间内对响应文件进行解密的，其响应文件不予接收、唱标。</w:t>
            </w:r>
          </w:p>
          <w:p w14:paraId="0CB0F673">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5、开标时</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可登录到交易系统中在开标大厅中点击开标一览表查看自己的</w:t>
            </w:r>
            <w:r>
              <w:rPr>
                <w:rFonts w:hint="eastAsia" w:ascii="宋体" w:hAnsi="宋体" w:cs="宋体"/>
                <w:spacing w:val="5"/>
                <w:sz w:val="24"/>
                <w:szCs w:val="24"/>
                <w:highlight w:val="none"/>
                <w:lang w:val="en-US" w:eastAsia="zh-CN"/>
              </w:rPr>
              <w:t>响应</w:t>
            </w:r>
            <w:r>
              <w:rPr>
                <w:rFonts w:hint="eastAsia" w:ascii="宋体" w:hAnsi="宋体" w:eastAsia="宋体" w:cs="宋体"/>
                <w:spacing w:val="5"/>
                <w:sz w:val="24"/>
                <w:szCs w:val="24"/>
                <w:highlight w:val="none"/>
              </w:rPr>
              <w:t>报价。如对自己的唱标内容有异议的，应在唱标内容显示后10分钟内向中介服务机构电话质疑。中介服务机构应在监督人员的监督下进行免提通话接受</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的质疑并做好书面记录。</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未在规定时间内提出质疑的，视为认可唱标内容。</w:t>
            </w:r>
          </w:p>
          <w:p w14:paraId="2F0C1DB6">
            <w:pPr>
              <w:widowControl/>
              <w:spacing w:line="360" w:lineRule="auto"/>
              <w:rPr>
                <w:rFonts w:hint="eastAsia" w:ascii="宋体" w:hAnsi="宋体" w:eastAsia="宋体" w:cs="宋体"/>
                <w:spacing w:val="5"/>
                <w:sz w:val="24"/>
                <w:szCs w:val="24"/>
                <w:highlight w:val="none"/>
              </w:rPr>
            </w:pPr>
            <w:r>
              <w:rPr>
                <w:rFonts w:hint="eastAsia" w:ascii="宋体" w:hAnsi="宋体" w:eastAsia="宋体" w:cs="宋体"/>
                <w:spacing w:val="5"/>
                <w:sz w:val="24"/>
                <w:szCs w:val="24"/>
                <w:highlight w:val="none"/>
              </w:rPr>
              <w:t>6、评标时，</w:t>
            </w:r>
            <w:r>
              <w:rPr>
                <w:rFonts w:hint="eastAsia" w:ascii="宋体" w:hAnsi="宋体" w:eastAsia="宋体" w:cs="宋体"/>
                <w:sz w:val="24"/>
                <w:szCs w:val="24"/>
                <w:highlight w:val="none"/>
              </w:rPr>
              <w:t>磋商小组</w:t>
            </w:r>
            <w:r>
              <w:rPr>
                <w:rFonts w:hint="eastAsia" w:ascii="宋体" w:hAnsi="宋体" w:eastAsia="宋体" w:cs="宋体"/>
                <w:spacing w:val="5"/>
                <w:sz w:val="24"/>
                <w:szCs w:val="24"/>
                <w:highlight w:val="none"/>
              </w:rPr>
              <w:t>对电子化响应文件有质疑的，将通过电子化交易系统对</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发起质疑，并在监督人员的监督下，用免提模式致电需要答复的</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进行详细质询。质疑回复内容确认后，</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的回复文件必须以经过</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和其法定代表人签章的PDF格式文件为准，并通过电子化交易系统提交至磋商小组。</w:t>
            </w:r>
          </w:p>
          <w:p w14:paraId="110B3A5D">
            <w:pPr>
              <w:spacing w:line="360" w:lineRule="auto"/>
              <w:ind w:firstLine="50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spacing w:val="5"/>
                <w:sz w:val="24"/>
                <w:szCs w:val="24"/>
                <w:highlight w:val="none"/>
              </w:rPr>
              <w:t>7、如</w:t>
            </w:r>
            <w:r>
              <w:rPr>
                <w:rFonts w:hint="eastAsia" w:ascii="宋体" w:hAnsi="宋体" w:eastAsia="宋体" w:cs="宋体"/>
                <w:sz w:val="24"/>
                <w:szCs w:val="24"/>
                <w:highlight w:val="none"/>
              </w:rPr>
              <w:t>磋商小组</w:t>
            </w:r>
            <w:r>
              <w:rPr>
                <w:rFonts w:hint="eastAsia" w:ascii="宋体" w:hAnsi="宋体" w:eastAsia="宋体" w:cs="宋体"/>
                <w:spacing w:val="5"/>
                <w:sz w:val="24"/>
                <w:szCs w:val="24"/>
                <w:highlight w:val="none"/>
              </w:rPr>
              <w:t>对需要回复的</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连续三次致电未接通的，视为</w:t>
            </w:r>
            <w:r>
              <w:rPr>
                <w:rFonts w:hint="eastAsia" w:ascii="宋体" w:hAnsi="宋体" w:cs="宋体"/>
                <w:spacing w:val="5"/>
                <w:sz w:val="24"/>
                <w:szCs w:val="24"/>
                <w:highlight w:val="none"/>
                <w:lang w:eastAsia="zh-CN"/>
              </w:rPr>
              <w:t>响应人</w:t>
            </w:r>
            <w:r>
              <w:rPr>
                <w:rFonts w:hint="eastAsia" w:ascii="宋体" w:hAnsi="宋体" w:eastAsia="宋体" w:cs="宋体"/>
                <w:spacing w:val="5"/>
                <w:sz w:val="24"/>
                <w:szCs w:val="24"/>
                <w:highlight w:val="none"/>
              </w:rPr>
              <w:t>放弃回复，</w:t>
            </w:r>
            <w:r>
              <w:rPr>
                <w:rFonts w:hint="eastAsia" w:ascii="宋体" w:hAnsi="宋体" w:eastAsia="宋体" w:cs="宋体"/>
                <w:sz w:val="24"/>
                <w:szCs w:val="24"/>
                <w:highlight w:val="none"/>
              </w:rPr>
              <w:t>磋商小组</w:t>
            </w:r>
            <w:r>
              <w:rPr>
                <w:rFonts w:hint="eastAsia" w:ascii="宋体" w:hAnsi="宋体" w:eastAsia="宋体" w:cs="宋体"/>
                <w:spacing w:val="5"/>
                <w:sz w:val="24"/>
                <w:szCs w:val="24"/>
                <w:highlight w:val="none"/>
              </w:rPr>
              <w:t>将自行对需要回复的内容进行认定。</w:t>
            </w:r>
          </w:p>
        </w:tc>
      </w:tr>
    </w:tbl>
    <w:p w14:paraId="233AFAA9">
      <w:pPr>
        <w:pStyle w:val="2"/>
        <w:rPr>
          <w:rFonts w:hint="eastAsia" w:asciiTheme="majorEastAsia" w:hAnsiTheme="majorEastAsia" w:eastAsiaTheme="majorEastAsia" w:cstheme="majorEastAsia"/>
          <w:b/>
          <w:bCs/>
          <w:color w:val="auto"/>
          <w:highlight w:val="none"/>
        </w:rPr>
      </w:pPr>
      <w:bookmarkStart w:id="20" w:name="_Toc407"/>
      <w:bookmarkStart w:id="21" w:name="_Toc13120"/>
      <w:bookmarkStart w:id="22" w:name="_Toc1686"/>
    </w:p>
    <w:p w14:paraId="53A549F0">
      <w:pPr>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br w:type="page"/>
      </w:r>
    </w:p>
    <w:p w14:paraId="08B246DD">
      <w:pPr>
        <w:pStyle w:val="2"/>
        <w:rPr>
          <w:rFonts w:hint="eastAsia" w:ascii="宋体" w:hAnsi="宋体" w:eastAsia="宋体" w:cs="宋体"/>
          <w:b/>
          <w:bCs/>
          <w:color w:val="auto"/>
          <w:kern w:val="0"/>
          <w:sz w:val="24"/>
          <w:szCs w:val="24"/>
          <w:highlight w:val="none"/>
          <w:lang w:val="en-US" w:eastAsia="zh-CN" w:bidi="ar-SA"/>
        </w:rPr>
      </w:pPr>
      <w:bookmarkStart w:id="23" w:name="_Toc1834"/>
      <w:r>
        <w:rPr>
          <w:rFonts w:hint="eastAsia" w:ascii="宋体" w:hAnsi="宋体" w:eastAsia="宋体" w:cs="宋体"/>
          <w:b/>
          <w:bCs/>
          <w:color w:val="auto"/>
          <w:kern w:val="0"/>
          <w:sz w:val="24"/>
          <w:szCs w:val="24"/>
          <w:highlight w:val="none"/>
          <w:lang w:val="en-US" w:eastAsia="zh-CN" w:bidi="ar-SA"/>
        </w:rPr>
        <w:t>1.总则</w:t>
      </w:r>
      <w:bookmarkEnd w:id="20"/>
      <w:bookmarkEnd w:id="21"/>
      <w:bookmarkEnd w:id="22"/>
      <w:bookmarkEnd w:id="23"/>
    </w:p>
    <w:p w14:paraId="40F4A6DE">
      <w:pPr>
        <w:spacing w:line="520" w:lineRule="exact"/>
        <w:ind w:firstLine="482"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1.1项目概况</w:t>
      </w:r>
    </w:p>
    <w:p w14:paraId="72255B4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根据《政府采购竞争性磋商采购方式管理暂行办法》《中华人民共和国政府采购法》等有关</w:t>
      </w:r>
      <w:r>
        <w:rPr>
          <w:rFonts w:hint="eastAsia" w:ascii="宋体" w:hAnsi="宋体" w:cs="宋体"/>
          <w:color w:val="auto"/>
          <w:sz w:val="24"/>
          <w:szCs w:val="24"/>
          <w:highlight w:val="none"/>
          <w:lang w:eastAsia="zh-CN"/>
        </w:rPr>
        <w:t>法律法规</w:t>
      </w:r>
      <w:r>
        <w:rPr>
          <w:rFonts w:hint="eastAsia" w:ascii="宋体" w:hAnsi="宋体" w:cs="宋体"/>
          <w:color w:val="auto"/>
          <w:sz w:val="24"/>
          <w:szCs w:val="24"/>
          <w:highlight w:val="none"/>
        </w:rPr>
        <w:t>和规章的规定，本项目已具备磋商条件，现对本项目进行竞争性磋商。</w:t>
      </w:r>
    </w:p>
    <w:p w14:paraId="3116672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 本磋商项目</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：见响应人须知前附表。</w:t>
      </w:r>
    </w:p>
    <w:p w14:paraId="2A86B69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 本磋商项目招标代理机构：见响应人须知前附表。</w:t>
      </w:r>
    </w:p>
    <w:p w14:paraId="5FECDC5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 本磋商项目名称：见响应人须知前附表。</w:t>
      </w:r>
    </w:p>
    <w:p w14:paraId="0A95647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 本磋商项目地点：见响应人须知前附表。</w:t>
      </w:r>
    </w:p>
    <w:p w14:paraId="68F23D0B">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1.2 资金来源</w:t>
      </w:r>
    </w:p>
    <w:p w14:paraId="09C1039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本招标项目的资金来源：见响应人须知前附表。</w:t>
      </w:r>
    </w:p>
    <w:p w14:paraId="0A5D1D07">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1.3 磋商范围、</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lang w:eastAsia="zh-CN"/>
        </w:rPr>
        <w:t>周期</w:t>
      </w:r>
      <w:r>
        <w:rPr>
          <w:rFonts w:hint="eastAsia" w:ascii="宋体" w:hAnsi="宋体" w:cs="宋体"/>
          <w:b/>
          <w:bCs/>
          <w:color w:val="auto"/>
          <w:sz w:val="24"/>
          <w:szCs w:val="24"/>
          <w:highlight w:val="none"/>
        </w:rPr>
        <w:t>和</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要求</w:t>
      </w:r>
    </w:p>
    <w:p w14:paraId="437EF96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本次磋商范围：见响应人须知前附表。</w:t>
      </w:r>
    </w:p>
    <w:p w14:paraId="38689C5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本</w:t>
      </w:r>
      <w:r>
        <w:rPr>
          <w:rFonts w:hint="eastAsia" w:ascii="宋体" w:hAnsi="宋体" w:cs="宋体"/>
          <w:color w:val="auto"/>
          <w:sz w:val="24"/>
          <w:szCs w:val="24"/>
          <w:highlight w:val="none"/>
          <w:lang w:val="en-US" w:eastAsia="zh-CN"/>
        </w:rPr>
        <w:t>项目的服务</w:t>
      </w:r>
      <w:r>
        <w:rPr>
          <w:rFonts w:hint="eastAsia" w:ascii="宋体" w:hAnsi="宋体" w:cs="宋体"/>
          <w:color w:val="auto"/>
          <w:sz w:val="24"/>
          <w:szCs w:val="24"/>
          <w:highlight w:val="none"/>
          <w:lang w:eastAsia="zh-CN"/>
        </w:rPr>
        <w:t>周期</w:t>
      </w:r>
      <w:r>
        <w:rPr>
          <w:rFonts w:hint="eastAsia" w:ascii="宋体" w:hAnsi="宋体" w:cs="宋体"/>
          <w:color w:val="auto"/>
          <w:sz w:val="24"/>
          <w:szCs w:val="24"/>
          <w:highlight w:val="none"/>
        </w:rPr>
        <w:t>：见响应人须知前附表。</w:t>
      </w:r>
    </w:p>
    <w:p w14:paraId="1FB19AC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本</w:t>
      </w:r>
      <w:r>
        <w:rPr>
          <w:rFonts w:hint="eastAsia" w:ascii="宋体" w:hAnsi="宋体" w:cs="宋体"/>
          <w:color w:val="auto"/>
          <w:sz w:val="24"/>
          <w:szCs w:val="24"/>
          <w:highlight w:val="none"/>
          <w:lang w:val="en-US" w:eastAsia="zh-CN"/>
        </w:rPr>
        <w:t>项目的服务</w:t>
      </w:r>
      <w:r>
        <w:rPr>
          <w:rFonts w:hint="eastAsia" w:ascii="宋体" w:hAnsi="宋体" w:cs="宋体"/>
          <w:color w:val="auto"/>
          <w:sz w:val="24"/>
          <w:szCs w:val="24"/>
          <w:highlight w:val="none"/>
        </w:rPr>
        <w:t>要求：见响应人须知前附表。</w:t>
      </w:r>
    </w:p>
    <w:p w14:paraId="0D54FE28">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1.4响应人资格要求</w:t>
      </w:r>
    </w:p>
    <w:p w14:paraId="4603AAE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响应人应具备承担本</w:t>
      </w:r>
      <w:r>
        <w:rPr>
          <w:rFonts w:hint="eastAsia" w:ascii="宋体" w:hAnsi="宋体" w:cs="宋体"/>
          <w:color w:val="auto"/>
          <w:sz w:val="24"/>
          <w:szCs w:val="24"/>
          <w:highlight w:val="none"/>
          <w:lang w:val="en-US" w:eastAsia="zh-CN"/>
        </w:rPr>
        <w:t>项目服务内容的</w:t>
      </w:r>
      <w:r>
        <w:rPr>
          <w:rFonts w:hint="eastAsia" w:ascii="宋体" w:hAnsi="宋体" w:cs="宋体"/>
          <w:color w:val="auto"/>
          <w:sz w:val="24"/>
          <w:szCs w:val="24"/>
          <w:highlight w:val="none"/>
        </w:rPr>
        <w:t>条件、能力和信誉见前附表。</w:t>
      </w:r>
    </w:p>
    <w:p w14:paraId="05DC3BB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响应人不得存在下列情形之一：</w:t>
      </w:r>
    </w:p>
    <w:p w14:paraId="7DF7B04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（1）为采购人不具有独立法人资格的附属机构（单位）；</w:t>
      </w:r>
    </w:p>
    <w:p w14:paraId="0CB7768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（2）与采购人存在利害关系且可能影响招标公正性；</w:t>
      </w:r>
    </w:p>
    <w:p w14:paraId="17570CA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（3）与本招标项目的其他供应商为同一个单位负责人；</w:t>
      </w:r>
    </w:p>
    <w:p w14:paraId="50B2485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（4）与本招标项目的其他供应商存在控股、管理关系；</w:t>
      </w:r>
    </w:p>
    <w:p w14:paraId="5568D61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（5）为本招标项目的采购代理机构；</w:t>
      </w:r>
    </w:p>
    <w:p w14:paraId="7A93D02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（6）与本招标项目采购代理机构同为一个法定代表人或与本招标项目采购代理机构存在控股或参股关系；</w:t>
      </w:r>
    </w:p>
    <w:p w14:paraId="6DA223B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（7）被依法暂停或者取消投标资格；</w:t>
      </w:r>
    </w:p>
    <w:p w14:paraId="6F26C44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（8）被责令停产停业、暂扣或者吊销许可证、暂扣或者吊销执照；</w:t>
      </w:r>
    </w:p>
    <w:p w14:paraId="3B3A895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（9）进入清算程序，或被宣告破产，或其他丧失履约能力的情形；</w:t>
      </w:r>
    </w:p>
    <w:p w14:paraId="216D534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（10）法律法规或供应商须知前附表规定的其他情形。</w:t>
      </w:r>
    </w:p>
    <w:p w14:paraId="33149F94">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1.5 费用承担</w:t>
      </w:r>
    </w:p>
    <w:p w14:paraId="21F138F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响应人准备和参加磋商活动发生的费用自理。</w:t>
      </w:r>
    </w:p>
    <w:p w14:paraId="1326039C">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 保密</w:t>
      </w:r>
    </w:p>
    <w:p w14:paraId="487A01A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参与磋商活动的各方应对磋商文件和响应文件中的商业和技术等秘密保密，违者应对由此造成的后果承担法律责任。</w:t>
      </w:r>
    </w:p>
    <w:p w14:paraId="0BB10506">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1.7 语言文字</w:t>
      </w:r>
    </w:p>
    <w:p w14:paraId="5D12A49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除专用术语外，与采购磋商有关的语言均使用中文。必要时专用术语应附有中文注释。</w:t>
      </w:r>
    </w:p>
    <w:p w14:paraId="103BB63B">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1.8 计量单位</w:t>
      </w:r>
    </w:p>
    <w:p w14:paraId="46A8BC4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3B3FF1A2">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1.9 踏勘现场</w:t>
      </w:r>
    </w:p>
    <w:p w14:paraId="0DE7E90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不组织</w:t>
      </w:r>
    </w:p>
    <w:p w14:paraId="734C20BD">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1.10 磋商预备会</w:t>
      </w:r>
    </w:p>
    <w:p w14:paraId="65F53D7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不组织</w:t>
      </w:r>
    </w:p>
    <w:p w14:paraId="0A0CB602">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1.11 分包</w:t>
      </w:r>
    </w:p>
    <w:p w14:paraId="0922A77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不允许分包。</w:t>
      </w:r>
    </w:p>
    <w:p w14:paraId="25DDFB4C">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1.12 偏离</w:t>
      </w:r>
    </w:p>
    <w:p w14:paraId="650E8AD0">
      <w:pPr>
        <w:spacing w:line="520" w:lineRule="exact"/>
        <w:ind w:firstLine="480" w:firstLineChars="200"/>
        <w:rPr>
          <w:rFonts w:hint="eastAsia" w:ascii="宋体" w:hAnsi="宋体" w:cs="宋体"/>
          <w:color w:val="auto"/>
          <w:sz w:val="24"/>
          <w:szCs w:val="24"/>
          <w:highlight w:val="none"/>
        </w:rPr>
      </w:pPr>
      <w:bookmarkStart w:id="24" w:name="_Toc184635072"/>
      <w:bookmarkEnd w:id="24"/>
      <w:r>
        <w:rPr>
          <w:rFonts w:hint="eastAsia" w:ascii="宋体" w:hAnsi="宋体" w:cs="宋体"/>
          <w:color w:val="auto"/>
          <w:sz w:val="24"/>
          <w:szCs w:val="24"/>
          <w:highlight w:val="none"/>
          <w:lang w:eastAsia="zh-CN"/>
        </w:rPr>
        <w:t>不允许</w:t>
      </w:r>
      <w:r>
        <w:rPr>
          <w:rFonts w:hint="eastAsia" w:ascii="宋体" w:hAnsi="宋体" w:cs="宋体"/>
          <w:color w:val="auto"/>
          <w:sz w:val="24"/>
          <w:szCs w:val="24"/>
          <w:highlight w:val="none"/>
        </w:rPr>
        <w:t>偏离</w:t>
      </w:r>
    </w:p>
    <w:p w14:paraId="4FAA62D4">
      <w:pPr>
        <w:keepNext/>
        <w:keepLines/>
        <w:spacing w:line="520" w:lineRule="exact"/>
        <w:ind w:left="851" w:hanging="284"/>
        <w:outlineLvl w:val="1"/>
        <w:rPr>
          <w:rFonts w:hint="eastAsia" w:ascii="宋体" w:hAnsi="宋体" w:cs="宋体"/>
          <w:b/>
          <w:bCs/>
          <w:color w:val="auto"/>
          <w:sz w:val="24"/>
          <w:szCs w:val="24"/>
          <w:highlight w:val="none"/>
        </w:rPr>
      </w:pPr>
      <w:bookmarkStart w:id="25" w:name="_Toc466566784"/>
      <w:bookmarkEnd w:id="25"/>
      <w:bookmarkStart w:id="26" w:name="_Toc25522"/>
      <w:bookmarkStart w:id="27" w:name="_Toc14217"/>
      <w:bookmarkStart w:id="28" w:name="_Toc25195"/>
      <w:bookmarkStart w:id="29" w:name="_Toc5726"/>
      <w:bookmarkStart w:id="30" w:name="_Toc466566695"/>
      <w:r>
        <w:rPr>
          <w:rFonts w:hint="eastAsia" w:ascii="宋体" w:hAnsi="宋体" w:cs="宋体"/>
          <w:b/>
          <w:bCs/>
          <w:color w:val="auto"/>
          <w:sz w:val="24"/>
          <w:szCs w:val="24"/>
          <w:highlight w:val="none"/>
        </w:rPr>
        <w:t>2．竞争性磋商文件</w:t>
      </w:r>
      <w:bookmarkEnd w:id="26"/>
      <w:bookmarkEnd w:id="27"/>
      <w:bookmarkEnd w:id="28"/>
      <w:bookmarkEnd w:id="29"/>
      <w:bookmarkEnd w:id="30"/>
    </w:p>
    <w:p w14:paraId="23B494CC">
      <w:pPr>
        <w:keepNext/>
        <w:keepLines/>
        <w:spacing w:line="520" w:lineRule="exact"/>
        <w:ind w:left="851" w:hanging="284"/>
        <w:outlineLvl w:val="1"/>
        <w:rPr>
          <w:rFonts w:hint="eastAsia" w:ascii="宋体" w:hAnsi="宋体" w:cs="宋体"/>
          <w:color w:val="auto"/>
          <w:sz w:val="24"/>
          <w:szCs w:val="24"/>
          <w:highlight w:val="none"/>
        </w:rPr>
      </w:pPr>
      <w:bookmarkStart w:id="31" w:name="_Toc10379"/>
      <w:bookmarkStart w:id="32" w:name="_Toc14830"/>
      <w:bookmarkStart w:id="33" w:name="_Toc17870"/>
      <w:bookmarkStart w:id="34" w:name="_Toc23650"/>
      <w:r>
        <w:rPr>
          <w:rFonts w:hint="eastAsia" w:ascii="宋体" w:hAnsi="宋体" w:cs="宋体"/>
          <w:color w:val="auto"/>
          <w:sz w:val="24"/>
          <w:szCs w:val="24"/>
          <w:highlight w:val="none"/>
        </w:rPr>
        <w:t>2.1 竞争性磋商文件的组成</w:t>
      </w:r>
      <w:bookmarkEnd w:id="31"/>
      <w:bookmarkEnd w:id="32"/>
      <w:bookmarkEnd w:id="33"/>
      <w:bookmarkEnd w:id="34"/>
    </w:p>
    <w:p w14:paraId="3176BA8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本竞争性磋商文件包括：</w:t>
      </w:r>
    </w:p>
    <w:p w14:paraId="681414F5">
      <w:pPr>
        <w:spacing w:line="520" w:lineRule="exact"/>
        <w:ind w:firstLine="420" w:firstLineChars="200"/>
        <w:rPr>
          <w:rFonts w:hint="eastAsia" w:ascii="宋体" w:hAnsi="宋体" w:cs="宋体"/>
          <w:color w:val="auto"/>
          <w:sz w:val="24"/>
          <w:szCs w:val="24"/>
          <w:highlight w:val="none"/>
        </w:rPr>
      </w:pPr>
      <w:r>
        <w:rPr>
          <w:rFonts w:hint="eastAsia" w:ascii="宋体" w:hAnsi="宋体" w:cs="宋体"/>
          <w:color w:val="auto"/>
          <w:kern w:val="0"/>
          <w:highlight w:val="none"/>
          <w:lang w:bidi="ar"/>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1）招标公告；</w:t>
      </w:r>
    </w:p>
    <w:p w14:paraId="6D1B05D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须知；</w:t>
      </w:r>
    </w:p>
    <w:p w14:paraId="0647DD5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3）评标办法；</w:t>
      </w:r>
    </w:p>
    <w:p w14:paraId="33216DA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4）合同条款及格式；</w:t>
      </w:r>
    </w:p>
    <w:p w14:paraId="03698FAD">
      <w:p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5）技术</w:t>
      </w:r>
      <w:r>
        <w:rPr>
          <w:rFonts w:hint="eastAsia" w:ascii="宋体" w:hAnsi="宋体" w:cs="宋体"/>
          <w:color w:val="auto"/>
          <w:sz w:val="24"/>
          <w:szCs w:val="24"/>
          <w:highlight w:val="none"/>
          <w:lang w:val="en-US" w:eastAsia="zh-CN"/>
        </w:rPr>
        <w:t>部分</w:t>
      </w:r>
    </w:p>
    <w:p w14:paraId="06190528">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ab/>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6）响应文件格式； </w:t>
      </w:r>
    </w:p>
    <w:p w14:paraId="63D674F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对竞争性磋商文件所作的澄清、修改，构成竞争性文件的组成部分。</w:t>
      </w:r>
    </w:p>
    <w:p w14:paraId="766F8AA7">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2.2 竞争性磋商文件的澄清</w:t>
      </w:r>
    </w:p>
    <w:p w14:paraId="3D19C4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响应人应仔细阅读和检查竞争性磋商文件的全部内容。如发现内容不完整或附件不全，应及时向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提出，以便补齐。如有疑问，应在响应人须知前附表规定的时间在三门峡市公共资源交易系统中提出质询，要求</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对竞争性磋商文件予以澄清。</w:t>
      </w:r>
    </w:p>
    <w:p w14:paraId="110BBEF6">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2.2.2 竞争性磋商文件的澄清以澄清回复的方式在三门峡市公共资源交易系统中回复所有报名完成响应人，但不指明澄清问题的来源。澄清竞争性磋商文件实质性内容且影响响应文件编制的，将相应延长磋商截止时间。 </w:t>
      </w:r>
    </w:p>
    <w:p w14:paraId="11FA86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 响应人应自行查看澄清信息。</w:t>
      </w:r>
    </w:p>
    <w:p w14:paraId="5588E1E4">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2.3 竞争性磋商文件的修改</w:t>
      </w:r>
    </w:p>
    <w:p w14:paraId="2E5582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 在磋商截止时间5天前，</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可以修改竞争性磋商文件，并以变更公告形式通知所有已购买竞争性磋商文件的响应人</w:t>
      </w:r>
    </w:p>
    <w:p w14:paraId="4542A6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如果修改竞争性磋商文件，会在三门峡市公共资源交易中心网发布变更公告，不再发纸质的变更信息。提醒响应人随时注意网上发布的信息。如因磋商响应人自身原因未看到信息，因此造成的一切后果由响应人自行承担。</w:t>
      </w:r>
    </w:p>
    <w:p w14:paraId="6900A0C1">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2.3.3为使响应人在准备响应文件时有合理的时间考虑竞争性磋商文件的修改，招标代理机构可酌情推迟磋商截止时间和磋商时间，但应当至少在磋商截止时间三个日历日前将变更时间以发布变更公告的形式通知所有响应人。该修改内容为竞争性磋商文件的组成部分。在此情况下，</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和响应人受磋商截止期制约的所有权利和义务均应延长至新的截止日期。</w:t>
      </w:r>
      <w:bookmarkStart w:id="35" w:name="_Toc184635073"/>
      <w:bookmarkEnd w:id="35"/>
      <w:r>
        <w:rPr>
          <w:rFonts w:hint="eastAsia" w:ascii="宋体" w:hAnsi="宋体" w:cs="宋体"/>
          <w:b/>
          <w:bCs/>
          <w:color w:val="auto"/>
          <w:sz w:val="24"/>
          <w:szCs w:val="24"/>
          <w:highlight w:val="none"/>
        </w:rPr>
        <w:t xml:space="preserve"> </w:t>
      </w:r>
    </w:p>
    <w:p w14:paraId="7AB153BA">
      <w:pPr>
        <w:spacing w:line="360" w:lineRule="auto"/>
        <w:ind w:firstLine="482" w:firstLineChars="200"/>
        <w:outlineLvl w:val="1"/>
        <w:rPr>
          <w:rFonts w:hint="eastAsia" w:ascii="宋体" w:hAnsi="宋体" w:cs="宋体"/>
          <w:b/>
          <w:bCs/>
          <w:color w:val="auto"/>
          <w:kern w:val="0"/>
          <w:sz w:val="24"/>
          <w:szCs w:val="24"/>
          <w:highlight w:val="none"/>
        </w:rPr>
      </w:pPr>
      <w:bookmarkStart w:id="36" w:name="_Toc5063"/>
      <w:bookmarkStart w:id="37" w:name="_Toc18067"/>
      <w:bookmarkStart w:id="38" w:name="_Toc5764"/>
      <w:bookmarkStart w:id="39" w:name="_Toc7186"/>
      <w:r>
        <w:rPr>
          <w:rFonts w:hint="eastAsia" w:ascii="宋体" w:hAnsi="宋体" w:cs="宋体"/>
          <w:b/>
          <w:bCs/>
          <w:color w:val="auto"/>
          <w:kern w:val="0"/>
          <w:sz w:val="24"/>
          <w:szCs w:val="24"/>
          <w:highlight w:val="none"/>
        </w:rPr>
        <w:t>3．响应文件</w:t>
      </w:r>
      <w:bookmarkEnd w:id="36"/>
      <w:bookmarkEnd w:id="37"/>
      <w:bookmarkEnd w:id="38"/>
      <w:bookmarkEnd w:id="39"/>
    </w:p>
    <w:p w14:paraId="318B7664">
      <w:pPr>
        <w:spacing w:line="52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3.1 响应文件的组成</w:t>
      </w:r>
    </w:p>
    <w:p w14:paraId="512CBEDA">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3.1.1 响应文件应包括下列内容：</w:t>
      </w:r>
    </w:p>
    <w:p w14:paraId="46044460">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3.1.1.1磋商函及磋商函附录</w:t>
      </w:r>
    </w:p>
    <w:p w14:paraId="41E5E564">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3.1.1.2法定代表人身份证明</w:t>
      </w:r>
    </w:p>
    <w:p w14:paraId="1376EC12">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3.1.1.3授权委托书</w:t>
      </w:r>
    </w:p>
    <w:p w14:paraId="6F333170">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3.1.1.4磋商承诺函</w:t>
      </w:r>
    </w:p>
    <w:p w14:paraId="5DC5E7BA">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3.1.1.5技术文件</w:t>
      </w:r>
    </w:p>
    <w:p w14:paraId="360D945C">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3.1.1.6项目组成人员情况表</w:t>
      </w:r>
    </w:p>
    <w:p w14:paraId="33359D26">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3.1.1.7资格审查资料</w:t>
      </w:r>
    </w:p>
    <w:p w14:paraId="6B3C8CDA">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3.1.1.8优惠服务承诺</w:t>
      </w:r>
    </w:p>
    <w:p w14:paraId="28CE4710">
      <w:pPr>
        <w:spacing w:line="520" w:lineRule="exact"/>
        <w:ind w:firstLine="480" w:firstLineChars="200"/>
        <w:textAlignment w:val="center"/>
        <w:rPr>
          <w:rFonts w:hint="eastAsia" w:ascii="宋体" w:hAnsi="宋体" w:cs="宋体"/>
          <w:color w:val="auto"/>
          <w:sz w:val="24"/>
          <w:highlight w:val="none"/>
        </w:rPr>
      </w:pPr>
      <w:r>
        <w:rPr>
          <w:rFonts w:hint="eastAsia" w:ascii="宋体" w:hAnsi="宋体" w:cs="宋体"/>
          <w:color w:val="auto"/>
          <w:sz w:val="24"/>
          <w:highlight w:val="none"/>
        </w:rPr>
        <w:t>3.1.1.9中小微企业声明函、监狱企业证明材料</w:t>
      </w:r>
    </w:p>
    <w:p w14:paraId="34A1053B">
      <w:pPr>
        <w:spacing w:line="520" w:lineRule="exact"/>
        <w:ind w:firstLine="480" w:firstLineChars="200"/>
        <w:textAlignment w:val="center"/>
        <w:rPr>
          <w:rFonts w:ascii="宋体" w:hAnsi="宋体" w:cs="宋体"/>
          <w:color w:val="auto"/>
          <w:sz w:val="24"/>
          <w:highlight w:val="none"/>
        </w:rPr>
      </w:pPr>
      <w:r>
        <w:rPr>
          <w:rFonts w:ascii="宋体" w:hAnsi="宋体" w:cs="宋体"/>
          <w:color w:val="auto"/>
          <w:sz w:val="24"/>
          <w:highlight w:val="none"/>
        </w:rPr>
        <w:t>3.1.10</w:t>
      </w:r>
      <w:r>
        <w:rPr>
          <w:rFonts w:hint="eastAsia" w:ascii="宋体" w:hAnsi="宋体" w:cs="宋体"/>
          <w:color w:val="auto"/>
          <w:sz w:val="24"/>
          <w:highlight w:val="none"/>
          <w:lang w:eastAsia="zh-CN"/>
        </w:rPr>
        <w:t>响应人</w:t>
      </w:r>
      <w:r>
        <w:rPr>
          <w:rFonts w:hint="eastAsia" w:ascii="宋体" w:hAnsi="宋体" w:cs="宋体"/>
          <w:color w:val="auto"/>
          <w:sz w:val="24"/>
          <w:highlight w:val="none"/>
        </w:rPr>
        <w:t>认为应附的其他证明材料</w:t>
      </w:r>
    </w:p>
    <w:p w14:paraId="156D9134">
      <w:pPr>
        <w:autoSpaceDE w:val="0"/>
        <w:autoSpaceDN w:val="0"/>
        <w:adjustRightInd w:val="0"/>
        <w:spacing w:line="480" w:lineRule="exact"/>
        <w:ind w:firstLine="542" w:firstLineChars="225"/>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3.2 磋商报价</w:t>
      </w:r>
    </w:p>
    <w:p w14:paraId="59D0EE5D">
      <w:pPr>
        <w:spacing w:line="336"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3.2.1所报价格应包含招标文件所要求的可能发生的招标范围内的工作费、顾问费及现场咨询服务费</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后续服务费）等所有费用。</w:t>
      </w:r>
      <w:r>
        <w:rPr>
          <w:rFonts w:hint="eastAsia" w:ascii="宋体" w:hAnsi="宋体"/>
          <w:color w:val="auto"/>
          <w:sz w:val="24"/>
          <w:szCs w:val="24"/>
          <w:highlight w:val="none"/>
          <w:lang w:val="en-US" w:eastAsia="zh-CN"/>
        </w:rPr>
        <w:t>报价</w:t>
      </w:r>
      <w:r>
        <w:rPr>
          <w:rFonts w:hint="eastAsia" w:ascii="宋体" w:hAnsi="宋体"/>
          <w:color w:val="auto"/>
          <w:sz w:val="24"/>
          <w:szCs w:val="24"/>
          <w:highlight w:val="none"/>
        </w:rPr>
        <w:t>参考相关收费标准结合</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单位自身情况自主报价，但不得低于本企业成本。</w:t>
      </w:r>
    </w:p>
    <w:p w14:paraId="56416033">
      <w:pPr>
        <w:spacing w:line="33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3.2.2响应文件的磋商报价应是竞争性磋商文件所确定的磋商范围内的全部工作内容的价格体现。响应人应认真阅读竞争性磋商文件，根据竞争性磋商文件规定的内容，对本次磋商的全部工作内容进行磋商报价。磋商报价应包含验收合格正式交付使用前所发生的一切费用，且响应人只能提出一个不变价格，</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不接受任何选择报价。</w:t>
      </w:r>
    </w:p>
    <w:p w14:paraId="4B3F7625">
      <w:pPr>
        <w:spacing w:line="336" w:lineRule="auto"/>
        <w:ind w:firstLine="480" w:firstLineChars="200"/>
        <w:rPr>
          <w:rFonts w:ascii="宋体" w:hAnsi="宋体"/>
          <w:color w:val="auto"/>
          <w:sz w:val="24"/>
          <w:szCs w:val="24"/>
          <w:highlight w:val="none"/>
        </w:rPr>
      </w:pPr>
      <w:r>
        <w:rPr>
          <w:rFonts w:ascii="宋体" w:hAnsi="宋体"/>
          <w:color w:val="auto"/>
          <w:sz w:val="24"/>
          <w:szCs w:val="24"/>
          <w:highlight w:val="none"/>
        </w:rPr>
        <w:t>3.2.3</w:t>
      </w:r>
      <w:r>
        <w:rPr>
          <w:rFonts w:hint="eastAsia" w:ascii="宋体" w:hAnsi="宋体"/>
          <w:color w:val="auto"/>
          <w:sz w:val="24"/>
          <w:szCs w:val="24"/>
          <w:highlight w:val="none"/>
        </w:rPr>
        <w:t xml:space="preserve"> 磋商报价包括的风险范围为：响应人应结合自身条件，并充分考虑本项目难度、服务</w:t>
      </w:r>
      <w:r>
        <w:rPr>
          <w:rFonts w:hint="eastAsia" w:ascii="宋体" w:hAnsi="宋体"/>
          <w:color w:val="auto"/>
          <w:sz w:val="24"/>
          <w:szCs w:val="24"/>
          <w:highlight w:val="none"/>
          <w:lang w:val="en-US" w:eastAsia="zh-CN"/>
        </w:rPr>
        <w:t>周期</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 xml:space="preserve">质量要求以及市场因素、现场环境因素、社会因素、市场价格调整因素等各方面原因合理报价。但不得低于企业实际成本。  </w:t>
      </w:r>
      <w:r>
        <w:rPr>
          <w:rFonts w:ascii="宋体" w:hAnsi="宋体"/>
          <w:color w:val="auto"/>
          <w:sz w:val="24"/>
          <w:szCs w:val="24"/>
          <w:highlight w:val="none"/>
        </w:rPr>
        <w:t xml:space="preserve"> </w:t>
      </w:r>
    </w:p>
    <w:p w14:paraId="2C2FDF46">
      <w:pPr>
        <w:spacing w:line="336"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磋商报价将被认为已综合考虑了在</w:t>
      </w: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rPr>
        <w:t>全过程中可能发生的全部不可预见费用。响应人未考虑到或漏算的项目，合同执行期间人员费用等相关的变动；各种原因</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周期</w:t>
      </w:r>
      <w:r>
        <w:rPr>
          <w:rFonts w:hint="eastAsia" w:ascii="宋体" w:hAnsi="宋体"/>
          <w:color w:val="auto"/>
          <w:sz w:val="24"/>
          <w:szCs w:val="24"/>
          <w:highlight w:val="none"/>
        </w:rPr>
        <w:t>工作时间延长，成交人无权再以任何理由提出延长</w:t>
      </w: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周期</w:t>
      </w:r>
      <w:r>
        <w:rPr>
          <w:rFonts w:hint="eastAsia" w:ascii="宋体" w:hAnsi="宋体"/>
          <w:color w:val="auto"/>
          <w:sz w:val="24"/>
          <w:szCs w:val="24"/>
          <w:highlight w:val="none"/>
        </w:rPr>
        <w:t>、增加价款或索赔等要求。如果响应人对任何报价遗漏或未计，均被认为已包含在其他费用中，</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不另行支付。</w:t>
      </w:r>
    </w:p>
    <w:p w14:paraId="43DA6C18">
      <w:pPr>
        <w:spacing w:line="336"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3.2.</w:t>
      </w:r>
      <w:r>
        <w:rPr>
          <w:rFonts w:hint="eastAsia" w:ascii="宋体" w:hAnsi="宋体"/>
          <w:color w:val="auto"/>
          <w:sz w:val="24"/>
          <w:szCs w:val="24"/>
          <w:highlight w:val="none"/>
        </w:rPr>
        <w:t>4如磋商报价函中的大写金额和小写金额不一致的，以大写金额为准；总价金额与单价金额不一致的，以单价金额为准，但单价金额小数点有明显错误的除外；对不同文字文本磋商文件的解释发生异议的，以中文文本为准。</w:t>
      </w:r>
    </w:p>
    <w:p w14:paraId="0952071E">
      <w:pPr>
        <w:spacing w:line="336"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3.2.</w:t>
      </w:r>
      <w:r>
        <w:rPr>
          <w:rFonts w:hint="eastAsia" w:ascii="宋体" w:hAnsi="宋体"/>
          <w:color w:val="auto"/>
          <w:sz w:val="24"/>
          <w:szCs w:val="24"/>
          <w:highlight w:val="none"/>
        </w:rPr>
        <w:t>5 全部报价均应以人民币为计量币种，并以人民币进行结算。</w:t>
      </w:r>
    </w:p>
    <w:p w14:paraId="443251CF">
      <w:pPr>
        <w:spacing w:line="336"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3.2.6响应人在磋商报价前可以自行踏勘现场，充分考虑了现状条件可能影响到项目正常服务工作的所有风险因素。无论</w:t>
      </w:r>
      <w:r>
        <w:rPr>
          <w:rFonts w:hint="eastAsia" w:ascii="宋体" w:hAnsi="宋体"/>
          <w:color w:val="auto"/>
          <w:sz w:val="24"/>
          <w:szCs w:val="24"/>
          <w:highlight w:val="none"/>
          <w:lang w:eastAsia="zh-CN"/>
        </w:rPr>
        <w:t>响应人</w:t>
      </w:r>
      <w:r>
        <w:rPr>
          <w:rFonts w:hint="eastAsia" w:ascii="宋体" w:hAnsi="宋体"/>
          <w:color w:val="auto"/>
          <w:sz w:val="24"/>
          <w:szCs w:val="24"/>
          <w:highlight w:val="none"/>
        </w:rPr>
        <w:t>是否进行了上述现场踏勘工作，其磋商报价中均将被认为已包含有在作业期间发生的全部不可预见</w:t>
      </w:r>
      <w:r>
        <w:rPr>
          <w:rFonts w:hint="eastAsia" w:ascii="宋体" w:hAnsi="宋体" w:cs="宋体"/>
          <w:color w:val="auto"/>
          <w:sz w:val="24"/>
          <w:szCs w:val="24"/>
          <w:highlight w:val="none"/>
        </w:rPr>
        <w:t>的风险费用，响应人成交后则无权因此要求任何</w:t>
      </w:r>
      <w:r>
        <w:rPr>
          <w:rFonts w:hint="eastAsia" w:ascii="宋体" w:hAnsi="宋体" w:cs="宋体"/>
          <w:color w:val="auto"/>
          <w:sz w:val="24"/>
          <w:szCs w:val="24"/>
          <w:highlight w:val="none"/>
          <w:lang w:val="en-US" w:eastAsia="zh-CN"/>
        </w:rPr>
        <w:t>服务周期</w:t>
      </w:r>
      <w:r>
        <w:rPr>
          <w:rFonts w:hint="eastAsia" w:ascii="宋体" w:hAnsi="宋体" w:cs="宋体"/>
          <w:color w:val="auto"/>
          <w:sz w:val="24"/>
          <w:szCs w:val="24"/>
          <w:highlight w:val="none"/>
        </w:rPr>
        <w:t>或费用上的索赔。</w:t>
      </w:r>
    </w:p>
    <w:p w14:paraId="716064A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3.2.7由于</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条件发生变化或响应人原因造成技术方案的更改，所增加的措施费用及</w:t>
      </w:r>
      <w:r>
        <w:rPr>
          <w:rFonts w:hint="eastAsia" w:ascii="宋体" w:hAnsi="宋体" w:cs="宋体"/>
          <w:color w:val="auto"/>
          <w:sz w:val="24"/>
          <w:szCs w:val="24"/>
          <w:highlight w:val="none"/>
          <w:lang w:val="en-US" w:eastAsia="zh-CN"/>
        </w:rPr>
        <w:t>服务周期</w:t>
      </w:r>
      <w:r>
        <w:rPr>
          <w:rFonts w:hint="eastAsia" w:ascii="宋体" w:hAnsi="宋体" w:cs="宋体"/>
          <w:color w:val="auto"/>
          <w:sz w:val="24"/>
          <w:szCs w:val="24"/>
          <w:highlight w:val="none"/>
        </w:rPr>
        <w:t>一概不予调整，相应的费用响应人应在磋商报价中充分考虑，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不另支付。</w:t>
      </w:r>
    </w:p>
    <w:p w14:paraId="3B799D4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3.2.8增值税属不可竞争费用，如违背国家税收规定的，对未按规定计取增值税的响应人，其磋商报价按低于成本价处理。</w:t>
      </w:r>
    </w:p>
    <w:p w14:paraId="5DF21581">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 磋商有效期</w:t>
      </w:r>
    </w:p>
    <w:p w14:paraId="2EC45F2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在响应人须知前附表规定的磋商有效期内，响应人不得要求撤销或修改其响应文件。</w:t>
      </w:r>
    </w:p>
    <w:p w14:paraId="61140D8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出现特殊情况需要延长磋商有效期的，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以书面形式通知所有响应人延长磋商有效期。响应人同意延长的，不得要求或被允许修改或撤销其响应文件；响应人拒绝延长的，其磋商失效。</w:t>
      </w:r>
    </w:p>
    <w:p w14:paraId="52A7EE08">
      <w:pPr>
        <w:spacing w:line="480" w:lineRule="exact"/>
        <w:ind w:firstLine="482" w:firstLineChars="200"/>
        <w:jc w:val="left"/>
        <w:rPr>
          <w:rFonts w:hint="eastAsia" w:ascii="宋体" w:hAnsi="宋体" w:cs="宋体"/>
          <w:color w:val="auto"/>
          <w:kern w:val="0"/>
          <w:sz w:val="24"/>
          <w:szCs w:val="24"/>
          <w:highlight w:val="none"/>
        </w:rPr>
      </w:pPr>
      <w:r>
        <w:rPr>
          <w:rFonts w:hint="eastAsia" w:ascii="宋体" w:hAnsi="宋体" w:cs="宋体"/>
          <w:b/>
          <w:color w:val="auto"/>
          <w:sz w:val="24"/>
          <w:szCs w:val="24"/>
          <w:highlight w:val="none"/>
        </w:rPr>
        <w:t>3.4 磋商保证金：</w:t>
      </w:r>
      <w:r>
        <w:rPr>
          <w:rFonts w:hint="eastAsia" w:ascii="宋体" w:hAnsi="宋体" w:cs="宋体"/>
          <w:color w:val="auto"/>
          <w:kern w:val="0"/>
          <w:sz w:val="24"/>
          <w:highlight w:val="none"/>
        </w:rPr>
        <w:t>按照《河南省财政厅关于</w:t>
      </w:r>
      <w:r>
        <w:rPr>
          <w:rFonts w:hint="eastAsia" w:ascii="宋体" w:hAnsi="宋体" w:cs="宋体"/>
          <w:color w:val="auto"/>
          <w:kern w:val="0"/>
          <w:sz w:val="24"/>
          <w:szCs w:val="24"/>
          <w:highlight w:val="none"/>
        </w:rPr>
        <w:t>优化政府采购营商环境有关问题的通知》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豫财购[2019]4号文）的要求本项目不再收取磋商保证金。</w:t>
      </w:r>
    </w:p>
    <w:p w14:paraId="19FFC00A">
      <w:pPr>
        <w:keepNext/>
        <w:keepLines/>
        <w:spacing w:line="520" w:lineRule="exact"/>
        <w:ind w:firstLine="482" w:firstLineChars="200"/>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3.5 资格审查资料</w:t>
      </w:r>
    </w:p>
    <w:p w14:paraId="55B62ED7">
      <w:pPr>
        <w:spacing w:line="52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详见</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须知前附表</w:t>
      </w:r>
      <w:r>
        <w:rPr>
          <w:rFonts w:hint="eastAsia" w:ascii="宋体" w:hAnsi="宋体" w:cs="宋体"/>
          <w:color w:val="auto"/>
          <w:kern w:val="0"/>
          <w:sz w:val="24"/>
          <w:szCs w:val="24"/>
          <w:highlight w:val="none"/>
          <w:lang w:eastAsia="zh-CN"/>
        </w:rPr>
        <w:t>响应人</w:t>
      </w:r>
      <w:r>
        <w:rPr>
          <w:rFonts w:hint="eastAsia" w:ascii="宋体" w:hAnsi="宋体" w:cs="宋体"/>
          <w:color w:val="auto"/>
          <w:kern w:val="0"/>
          <w:sz w:val="24"/>
          <w:szCs w:val="24"/>
          <w:highlight w:val="none"/>
        </w:rPr>
        <w:t>资格条件。</w:t>
      </w:r>
    </w:p>
    <w:p w14:paraId="44F8E44B">
      <w:pPr>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3.6 响应文件的编制</w:t>
      </w:r>
    </w:p>
    <w:p w14:paraId="1478B3F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 响应文件应按第六章“响应文件格式”进行编写，如有必要，可以增加附页，作为响应文件的组成部分。其中，磋商函附录在满足磋商文件实质性要求的基础上，可以提出比磋商文件要求更有利于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的承诺。</w:t>
      </w:r>
    </w:p>
    <w:p w14:paraId="0B18EA19">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 响应文件应当对磋商文件有关</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lang w:eastAsia="zh-CN"/>
        </w:rPr>
        <w:t>周期</w:t>
      </w:r>
      <w:r>
        <w:rPr>
          <w:rFonts w:hint="eastAsia" w:ascii="宋体" w:hAnsi="宋体" w:cs="宋体"/>
          <w:color w:val="auto"/>
          <w:sz w:val="24"/>
          <w:szCs w:val="24"/>
          <w:highlight w:val="none"/>
        </w:rPr>
        <w:t>、磋商有效期、</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要求、磋商范围等实质性内容作出响应。</w:t>
      </w:r>
    </w:p>
    <w:p w14:paraId="7B6B9991">
      <w:pPr>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3.7 响应文件的签署</w:t>
      </w:r>
    </w:p>
    <w:p w14:paraId="161B60D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3.7.1电子响应文件必须上传电子评标系统</w:t>
      </w:r>
      <w:r>
        <w:rPr>
          <w:rFonts w:hint="eastAsia" w:ascii="宋体" w:hAnsi="宋体" w:cs="宋体"/>
          <w:b/>
          <w:bCs/>
          <w:color w:val="auto"/>
          <w:sz w:val="24"/>
          <w:szCs w:val="24"/>
          <w:highlight w:val="none"/>
        </w:rPr>
        <w:t>。</w:t>
      </w:r>
    </w:p>
    <w:p w14:paraId="31C8B21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3.7.2电子响应文件由响应人的法定代表人签字或盖章。</w:t>
      </w:r>
      <w:bookmarkStart w:id="40" w:name="_Toc184635074"/>
      <w:bookmarkEnd w:id="40"/>
    </w:p>
    <w:p w14:paraId="41F6B7B4">
      <w:pPr>
        <w:numPr>
          <w:ilvl w:val="0"/>
          <w:numId w:val="1"/>
        </w:numPr>
        <w:spacing w:line="520" w:lineRule="exact"/>
        <w:ind w:firstLine="482" w:firstLineChars="200"/>
        <w:outlineLvl w:val="1"/>
        <w:rPr>
          <w:rFonts w:hint="eastAsia" w:ascii="宋体" w:hAnsi="宋体" w:cs="宋体"/>
          <w:b/>
          <w:bCs/>
          <w:color w:val="auto"/>
          <w:kern w:val="28"/>
          <w:sz w:val="24"/>
          <w:szCs w:val="24"/>
          <w:highlight w:val="none"/>
        </w:rPr>
      </w:pPr>
      <w:bookmarkStart w:id="41" w:name="_Toc18183"/>
      <w:bookmarkStart w:id="42" w:name="_Toc2724"/>
      <w:bookmarkStart w:id="43" w:name="_Toc21675"/>
      <w:bookmarkStart w:id="44" w:name="_Toc9252"/>
      <w:r>
        <w:rPr>
          <w:rFonts w:hint="eastAsia" w:ascii="宋体" w:hAnsi="宋体" w:cs="宋体"/>
          <w:b/>
          <w:bCs/>
          <w:color w:val="auto"/>
          <w:kern w:val="28"/>
          <w:sz w:val="24"/>
          <w:szCs w:val="24"/>
          <w:highlight w:val="none"/>
        </w:rPr>
        <w:t>磋商</w:t>
      </w:r>
      <w:bookmarkEnd w:id="41"/>
      <w:bookmarkEnd w:id="42"/>
      <w:bookmarkEnd w:id="43"/>
      <w:bookmarkEnd w:id="44"/>
    </w:p>
    <w:p w14:paraId="18852DD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4.1电子响应文件的递交</w:t>
      </w:r>
    </w:p>
    <w:p w14:paraId="4305784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4.1.1响应人应在规定的磋商截止时间前递交响应文件。</w:t>
      </w:r>
    </w:p>
    <w:p w14:paraId="139D2B0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4.1.2响应人递交响应文件的地点：见响应人须知前附表。</w:t>
      </w:r>
      <w:bookmarkStart w:id="45" w:name="_Toc466566785"/>
      <w:bookmarkEnd w:id="45"/>
      <w:bookmarkStart w:id="46" w:name="_Toc466566696"/>
      <w:bookmarkEnd w:id="46"/>
      <w:bookmarkStart w:id="47" w:name="_Toc184635075"/>
    </w:p>
    <w:p w14:paraId="557B720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 逾期送达或者未送达指定地点的响应文件，</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不予受理。</w:t>
      </w:r>
      <w:bookmarkEnd w:id="47"/>
    </w:p>
    <w:p w14:paraId="6D393586">
      <w:pPr>
        <w:spacing w:line="520" w:lineRule="exact"/>
        <w:ind w:firstLine="482" w:firstLineChars="200"/>
        <w:outlineLvl w:val="1"/>
        <w:rPr>
          <w:rFonts w:hint="eastAsia" w:ascii="宋体" w:hAnsi="宋体" w:cs="宋体"/>
          <w:b/>
          <w:bCs/>
          <w:color w:val="auto"/>
          <w:sz w:val="24"/>
          <w:szCs w:val="24"/>
          <w:highlight w:val="none"/>
        </w:rPr>
      </w:pPr>
      <w:bookmarkStart w:id="48" w:name="_Toc6129"/>
      <w:bookmarkStart w:id="49" w:name="_Toc30791"/>
      <w:bookmarkStart w:id="50" w:name="_Toc25863"/>
      <w:bookmarkStart w:id="51" w:name="_Toc27262"/>
      <w:r>
        <w:rPr>
          <w:rFonts w:hint="eastAsia" w:ascii="宋体" w:hAnsi="宋体" w:cs="宋体"/>
          <w:b/>
          <w:bCs/>
          <w:color w:val="auto"/>
          <w:sz w:val="24"/>
          <w:szCs w:val="24"/>
          <w:highlight w:val="none"/>
        </w:rPr>
        <w:t>5．磋商</w:t>
      </w:r>
      <w:bookmarkEnd w:id="48"/>
      <w:bookmarkEnd w:id="49"/>
      <w:bookmarkEnd w:id="50"/>
      <w:bookmarkEnd w:id="51"/>
    </w:p>
    <w:p w14:paraId="19816B8C">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5.1 磋商时间和地点</w:t>
      </w:r>
    </w:p>
    <w:p w14:paraId="02DB821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在本磋商文件规定的响应文件递交截止时间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磋商时间）和地点竞争性磋商。</w:t>
      </w:r>
    </w:p>
    <w:p w14:paraId="4232E398">
      <w:pPr>
        <w:spacing w:line="52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5.2  磋商程序</w:t>
      </w:r>
    </w:p>
    <w:p w14:paraId="4B9D989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5.2.1</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按须知前附表规定的时间和地点磋商；</w:t>
      </w:r>
    </w:p>
    <w:p w14:paraId="721B40EC">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5.2.2本项目采用</w:t>
      </w:r>
      <w:r>
        <w:rPr>
          <w:rFonts w:hint="eastAsia" w:ascii="宋体" w:hAnsi="宋体" w:cs="宋体"/>
          <w:b/>
          <w:bCs/>
          <w:color w:val="auto"/>
          <w:sz w:val="24"/>
          <w:szCs w:val="24"/>
          <w:highlight w:val="none"/>
        </w:rPr>
        <w:t>电子化、无纸化</w:t>
      </w:r>
      <w:r>
        <w:rPr>
          <w:rFonts w:hint="eastAsia" w:ascii="宋体" w:hAnsi="宋体" w:cs="宋体"/>
          <w:color w:val="auto"/>
          <w:sz w:val="24"/>
          <w:szCs w:val="24"/>
          <w:highlight w:val="none"/>
        </w:rPr>
        <w:t>进行磋商；</w:t>
      </w:r>
    </w:p>
    <w:p w14:paraId="50A0FF2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5.2.3响应文件有下列情况之一的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将不予接收：</w:t>
      </w:r>
    </w:p>
    <w:p w14:paraId="14256BF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5.2.3.1响应文件递交截止时间后上传的；</w:t>
      </w:r>
    </w:p>
    <w:p w14:paraId="6085EBED">
      <w:pPr>
        <w:autoSpaceDE w:val="0"/>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5.2.4按照响应文件上传顺序进行解密；</w:t>
      </w:r>
    </w:p>
    <w:p w14:paraId="350C6D2D">
      <w:pPr>
        <w:autoSpaceDE w:val="0"/>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5.2.5经确认无误后，按照报送时间顺序确定磋商顺序；</w:t>
      </w:r>
    </w:p>
    <w:p w14:paraId="2FE1693F">
      <w:pPr>
        <w:autoSpaceDE w:val="0"/>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5.2.6磋商时响应人可登录到交易系统中在磋商解密栏中点击磋商一览表查看自己的磋商报价。如对磋商过程有异议的，应在响应人解密成功后20分钟内向中介服务机构电话质疑。</w:t>
      </w:r>
    </w:p>
    <w:p w14:paraId="05703C7D">
      <w:pPr>
        <w:spacing w:line="520" w:lineRule="exact"/>
        <w:ind w:firstLine="482" w:firstLineChars="200"/>
        <w:outlineLvl w:val="1"/>
        <w:rPr>
          <w:rFonts w:hint="eastAsia" w:ascii="宋体" w:hAnsi="宋体" w:cs="宋体"/>
          <w:b/>
          <w:bCs/>
          <w:color w:val="auto"/>
          <w:kern w:val="28"/>
          <w:sz w:val="24"/>
          <w:szCs w:val="24"/>
          <w:highlight w:val="none"/>
        </w:rPr>
      </w:pPr>
      <w:bookmarkStart w:id="52" w:name="_Toc19133"/>
      <w:bookmarkStart w:id="53" w:name="_Toc10565"/>
      <w:bookmarkStart w:id="54" w:name="_Toc13381"/>
      <w:bookmarkStart w:id="55" w:name="_Toc6927"/>
      <w:r>
        <w:rPr>
          <w:rFonts w:hint="eastAsia" w:ascii="宋体" w:hAnsi="宋体" w:cs="宋体"/>
          <w:b/>
          <w:bCs/>
          <w:color w:val="auto"/>
          <w:kern w:val="28"/>
          <w:sz w:val="24"/>
          <w:szCs w:val="24"/>
          <w:highlight w:val="none"/>
        </w:rPr>
        <w:t>6. 磋商细则</w:t>
      </w:r>
      <w:bookmarkEnd w:id="52"/>
      <w:bookmarkEnd w:id="53"/>
      <w:bookmarkEnd w:id="54"/>
      <w:bookmarkEnd w:id="55"/>
    </w:p>
    <w:p w14:paraId="32CB624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按照上传响应文件时间的顺序，决定磋商顺序；</w:t>
      </w:r>
    </w:p>
    <w:p w14:paraId="68F62A4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6.2磋商小组所有成员在指定时间和地点与各响应人单独进行磋商。每位响应人有3-5分钟时间回答磋商小组以交易中心系统电子形式的提问。在磋商中，磋商的任何一方不得透露与磋商有关的其他响应人的技术资料、价格和其他信息。磋商文件有实质性变动的，磋商小组应当以三门峡公共资源交易中心系统电子形式通知所有参加磋商的响应人。</w:t>
      </w:r>
    </w:p>
    <w:p w14:paraId="2F43D5C1">
      <w:pPr>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6.3本次磋商中，响应文件中的磋商报价为第一次报价。</w:t>
      </w:r>
    </w:p>
    <w:p w14:paraId="3985FB6C">
      <w:pPr>
        <w:spacing w:line="52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6.4响应人可以在磋商小组规定的时间内进行第二次报价，通过交易中心系统以电子形式递交，第二次报价为最终报价。</w:t>
      </w:r>
    </w:p>
    <w:p w14:paraId="33C2C9C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6.5本项目采用综合评分法，磋商小组成员综合评审各响应人提交的响应文件，按总得分由高到低的顺序推荐3名成交候选人，并编写评审报告。</w:t>
      </w:r>
    </w:p>
    <w:p w14:paraId="37D7243E">
      <w:pPr>
        <w:spacing w:line="520" w:lineRule="exact"/>
        <w:ind w:firstLine="482" w:firstLineChars="200"/>
        <w:outlineLvl w:val="1"/>
        <w:rPr>
          <w:rFonts w:hint="eastAsia" w:ascii="宋体" w:hAnsi="宋体" w:cs="宋体"/>
          <w:b/>
          <w:bCs/>
          <w:color w:val="auto"/>
          <w:sz w:val="24"/>
          <w:szCs w:val="24"/>
          <w:highlight w:val="none"/>
        </w:rPr>
      </w:pPr>
      <w:bookmarkStart w:id="56" w:name="_Toc15178"/>
      <w:bookmarkStart w:id="57" w:name="_Toc20785"/>
      <w:bookmarkStart w:id="58" w:name="_Toc5850"/>
      <w:bookmarkStart w:id="59" w:name="_Toc25614"/>
      <w:r>
        <w:rPr>
          <w:rFonts w:hint="eastAsia" w:ascii="宋体" w:hAnsi="宋体" w:cs="宋体"/>
          <w:b/>
          <w:bCs/>
          <w:color w:val="auto"/>
          <w:sz w:val="24"/>
          <w:szCs w:val="24"/>
          <w:highlight w:val="none"/>
        </w:rPr>
        <w:t>7、磋商</w:t>
      </w:r>
      <w:bookmarkEnd w:id="56"/>
      <w:bookmarkEnd w:id="57"/>
      <w:bookmarkEnd w:id="58"/>
      <w:bookmarkEnd w:id="59"/>
    </w:p>
    <w:p w14:paraId="74EA704A">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rPr>
        <w:t>7</w:t>
      </w:r>
      <w:r>
        <w:rPr>
          <w:rFonts w:hint="eastAsia" w:ascii="宋体" w:hAnsi="宋体" w:cs="宋体"/>
          <w:color w:val="auto"/>
          <w:sz w:val="24"/>
          <w:szCs w:val="24"/>
          <w:highlight w:val="none"/>
        </w:rPr>
        <w:t>.1磋商小组由</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依法组建，负责磋商。根据《政府采购竞争性磋商采购方式管理办法》的规定，磋商小组应当履行以下义务：</w:t>
      </w:r>
    </w:p>
    <w:p w14:paraId="60E5BFE9">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一）遵纪守法，客观、公正、廉洁地履行职责；</w:t>
      </w:r>
    </w:p>
    <w:p w14:paraId="74ACA9C8">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二）根据竞争性磋商文件的规定独立进行评审，对个人的评审意见承担法律责任；</w:t>
      </w:r>
    </w:p>
    <w:p w14:paraId="67C9244B">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三）参与磋商报告的起草；</w:t>
      </w:r>
    </w:p>
    <w:p w14:paraId="10FDD6D1">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四）配合</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招标代理服务</w:t>
      </w:r>
      <w:r>
        <w:rPr>
          <w:rFonts w:hint="eastAsia" w:ascii="宋体" w:hAnsi="宋体" w:cs="宋体"/>
          <w:color w:val="auto"/>
          <w:sz w:val="24"/>
          <w:szCs w:val="24"/>
          <w:highlight w:val="none"/>
        </w:rPr>
        <w:t>答复</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提出的质疑；</w:t>
      </w:r>
    </w:p>
    <w:p w14:paraId="7D05A2AE">
      <w:pPr>
        <w:widowControl/>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五）配合财政部门的投诉处理和监督检查工作。</w:t>
      </w:r>
    </w:p>
    <w:p w14:paraId="6A41989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7.2磋商小组由有关技术、经济方面的专家组成。磋商小组人数及技术、经济专家的确定方式见</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须知前附表。</w:t>
      </w:r>
    </w:p>
    <w:p w14:paraId="6485BC5A">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 磋商原则</w:t>
      </w:r>
    </w:p>
    <w:p w14:paraId="695B010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7.3.1严格按照竞争性磋商文件中的所有相关规定；按照“公平、公正、科学”的原则进行磋商。</w:t>
      </w:r>
    </w:p>
    <w:p w14:paraId="20EA65D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7.3.2反对不正当竞争。</w:t>
      </w:r>
    </w:p>
    <w:p w14:paraId="6A4BA47D">
      <w:pPr>
        <w:spacing w:line="520" w:lineRule="exact"/>
        <w:ind w:firstLine="482" w:firstLineChars="200"/>
        <w:outlineLvl w:val="1"/>
        <w:rPr>
          <w:rFonts w:hint="eastAsia" w:ascii="宋体" w:hAnsi="宋体" w:cs="宋体"/>
          <w:b/>
          <w:bCs/>
          <w:color w:val="auto"/>
          <w:sz w:val="24"/>
          <w:szCs w:val="24"/>
          <w:highlight w:val="none"/>
        </w:rPr>
      </w:pPr>
      <w:bookmarkStart w:id="60" w:name="_Toc20144"/>
      <w:bookmarkStart w:id="61" w:name="_Toc25406"/>
      <w:bookmarkStart w:id="62" w:name="_Toc23050"/>
      <w:bookmarkStart w:id="63" w:name="_Toc22456"/>
      <w:r>
        <w:rPr>
          <w:rFonts w:hint="eastAsia" w:ascii="宋体" w:hAnsi="宋体" w:cs="宋体"/>
          <w:b/>
          <w:bCs/>
          <w:color w:val="auto"/>
          <w:sz w:val="24"/>
          <w:szCs w:val="24"/>
          <w:highlight w:val="none"/>
        </w:rPr>
        <w:t>8、磋商过程的保密</w:t>
      </w:r>
      <w:bookmarkEnd w:id="60"/>
      <w:bookmarkEnd w:id="61"/>
      <w:bookmarkEnd w:id="62"/>
      <w:bookmarkEnd w:id="63"/>
    </w:p>
    <w:p w14:paraId="033098E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8.1响应文件的审查、澄清、评价和比较的有关资料以及成交候选人的推荐情况，与磋商有关的其他任何情况均应严格保密。</w:t>
      </w:r>
    </w:p>
    <w:p w14:paraId="0A4E196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8.2在响应文件的评审和比较、成交候选人推荐以及授予合同的过程中，响应人向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和磋商小组施加影响的任何行为，都将会导致其磋商被拒绝。</w:t>
      </w:r>
    </w:p>
    <w:p w14:paraId="330A867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8.3</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不对未成交人就磋商过程以及未能成交原因作出任何解释。未成交人不得向磋商小组成员和其他有关人员索问磋商过程的情况和资料。</w:t>
      </w:r>
    </w:p>
    <w:p w14:paraId="6D060455">
      <w:pPr>
        <w:spacing w:line="520" w:lineRule="exact"/>
        <w:ind w:firstLine="482" w:firstLineChars="200"/>
        <w:outlineLvl w:val="1"/>
        <w:rPr>
          <w:rFonts w:hint="eastAsia" w:ascii="宋体" w:hAnsi="宋体" w:cs="宋体"/>
          <w:b/>
          <w:bCs/>
          <w:color w:val="auto"/>
          <w:sz w:val="24"/>
          <w:szCs w:val="24"/>
          <w:highlight w:val="none"/>
        </w:rPr>
      </w:pPr>
      <w:bookmarkStart w:id="64" w:name="_Toc10427"/>
      <w:bookmarkStart w:id="65" w:name="_Toc3997"/>
      <w:bookmarkStart w:id="66" w:name="_Toc30476"/>
      <w:bookmarkStart w:id="67" w:name="_Toc18185"/>
      <w:r>
        <w:rPr>
          <w:rFonts w:hint="eastAsia" w:ascii="宋体" w:hAnsi="宋体" w:cs="宋体"/>
          <w:b/>
          <w:bCs/>
          <w:color w:val="auto"/>
          <w:sz w:val="24"/>
          <w:szCs w:val="24"/>
          <w:highlight w:val="none"/>
        </w:rPr>
        <w:t>9、响应文件的澄清</w:t>
      </w:r>
      <w:bookmarkEnd w:id="64"/>
      <w:bookmarkEnd w:id="65"/>
      <w:bookmarkEnd w:id="66"/>
      <w:bookmarkEnd w:id="67"/>
    </w:p>
    <w:p w14:paraId="3592CCC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可以以书面形式要求响应人对其响应文件中含义不明确的内容作必要的澄清或说明。响应人应采用书面形式进行澄清和说明，但不得超出响应文件的范围或者改变响应文件实质性内容。凡属于磋商小组在磋商发现的计算错误并进行核实的修改不在此列。</w:t>
      </w:r>
    </w:p>
    <w:p w14:paraId="160FC9BA">
      <w:pPr>
        <w:spacing w:line="520" w:lineRule="exact"/>
        <w:ind w:firstLine="482" w:firstLineChars="200"/>
        <w:outlineLvl w:val="1"/>
        <w:rPr>
          <w:rFonts w:hint="eastAsia" w:ascii="宋体" w:hAnsi="宋体" w:cs="宋体"/>
          <w:b/>
          <w:bCs/>
          <w:color w:val="auto"/>
          <w:sz w:val="24"/>
          <w:szCs w:val="24"/>
          <w:highlight w:val="none"/>
        </w:rPr>
      </w:pPr>
      <w:bookmarkStart w:id="68" w:name="_Toc10719"/>
      <w:bookmarkStart w:id="69" w:name="_Toc29102"/>
      <w:bookmarkStart w:id="70" w:name="_Toc22926"/>
      <w:bookmarkStart w:id="71" w:name="_Toc28467"/>
      <w:r>
        <w:rPr>
          <w:rFonts w:hint="eastAsia" w:ascii="宋体" w:hAnsi="宋体" w:cs="宋体"/>
          <w:b/>
          <w:bCs/>
          <w:color w:val="auto"/>
          <w:sz w:val="24"/>
          <w:szCs w:val="24"/>
          <w:highlight w:val="none"/>
        </w:rPr>
        <w:t>10、响应文件的初步评审</w:t>
      </w:r>
      <w:bookmarkEnd w:id="68"/>
      <w:bookmarkEnd w:id="69"/>
      <w:bookmarkEnd w:id="70"/>
      <w:bookmarkEnd w:id="71"/>
    </w:p>
    <w:p w14:paraId="0A8B6F4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10.1根据初步评审要求经审查有效的响应文件，才能提交磋商小组进行评审。</w:t>
      </w:r>
    </w:p>
    <w:p w14:paraId="628BC14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10.2磋商小组首先评定每份响应文件是否实质上响应了竞争性磋商文件的要求。所谓实质上响应，是指响应文件与竞争性磋商文件的所有实质性条款、条件和要求相符，无显著差异或保留，或者对合同中约定的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的权利和响应人的义务方面造成重大的限制，纠正这些差异或保留，将会对其他实质上响应竞争性磋商文件要求的响应人的竞争地位产生不公正的影响。</w:t>
      </w:r>
    </w:p>
    <w:p w14:paraId="38809AC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10.3如果响应文件实质上不响应竞争性磋商文件的要求，</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将予以拒绝，并且不允许响应人通过修改或</w:t>
      </w:r>
      <w:r>
        <w:rPr>
          <w:rFonts w:hint="eastAsia" w:ascii="宋体" w:hAnsi="宋体" w:cs="宋体"/>
          <w:color w:val="auto"/>
          <w:sz w:val="24"/>
          <w:szCs w:val="24"/>
          <w:highlight w:val="none"/>
          <w:lang w:eastAsia="zh-CN"/>
        </w:rPr>
        <w:t>撤销其</w:t>
      </w:r>
      <w:r>
        <w:rPr>
          <w:rFonts w:hint="eastAsia" w:ascii="宋体" w:hAnsi="宋体" w:cs="宋体"/>
          <w:color w:val="auto"/>
          <w:sz w:val="24"/>
          <w:szCs w:val="24"/>
          <w:highlight w:val="none"/>
        </w:rPr>
        <w:t>不符合要求的差异或保留，使之成为具有响应性的磋商。</w:t>
      </w:r>
    </w:p>
    <w:p w14:paraId="2B6CC76D">
      <w:pPr>
        <w:spacing w:line="520" w:lineRule="exact"/>
        <w:ind w:firstLine="482" w:firstLineChars="200"/>
        <w:outlineLvl w:val="1"/>
        <w:rPr>
          <w:rFonts w:hint="eastAsia" w:ascii="宋体" w:hAnsi="宋体" w:cs="宋体"/>
          <w:b/>
          <w:bCs/>
          <w:color w:val="auto"/>
          <w:sz w:val="24"/>
          <w:szCs w:val="24"/>
          <w:highlight w:val="none"/>
        </w:rPr>
      </w:pPr>
      <w:bookmarkStart w:id="72" w:name="_Toc30656"/>
      <w:bookmarkStart w:id="73" w:name="_Toc13762"/>
      <w:bookmarkStart w:id="74" w:name="_Toc8534"/>
      <w:bookmarkStart w:id="75" w:name="_Toc654"/>
      <w:r>
        <w:rPr>
          <w:rFonts w:hint="eastAsia" w:ascii="宋体" w:hAnsi="宋体" w:cs="宋体"/>
          <w:b/>
          <w:bCs/>
          <w:color w:val="auto"/>
          <w:sz w:val="24"/>
          <w:szCs w:val="24"/>
          <w:highlight w:val="none"/>
        </w:rPr>
        <w:t>11.响应文件计算错误的修正</w:t>
      </w:r>
      <w:bookmarkEnd w:id="72"/>
      <w:bookmarkEnd w:id="73"/>
      <w:bookmarkEnd w:id="74"/>
      <w:bookmarkEnd w:id="75"/>
    </w:p>
    <w:p w14:paraId="3022E25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11.1磋商小组将对确定为实质上响应竞争性磋商文件要求的响应文件进行校核，看其是否有计算或表达上的错误，修正错误的原则如下：</w:t>
      </w:r>
    </w:p>
    <w:p w14:paraId="282287C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11.1.1如果数字表示的金额和用文字表示的金额不一致时，应以文字表示的金额为准；</w:t>
      </w:r>
    </w:p>
    <w:p w14:paraId="778F0ADF">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11.1.2当单价与数量的乘积与合价不一致时，以单价为准，除非磋商小组认为单价有明显的小数点错误，此时应以标出的合价为准，并修改单价。</w:t>
      </w:r>
    </w:p>
    <w:p w14:paraId="6C5DCA71">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11.2按上述修正错误的原则及方法调整或修正响应文件的磋商报价，响应人同意后，调整后的磋商报价对响应人起约束作用。如果响应人不接受修正后的报价，则磋商小组对其不再进行评审。</w:t>
      </w:r>
    </w:p>
    <w:p w14:paraId="5E88562C">
      <w:pPr>
        <w:spacing w:line="520" w:lineRule="exact"/>
        <w:ind w:firstLine="482" w:firstLineChars="200"/>
        <w:outlineLvl w:val="1"/>
        <w:rPr>
          <w:rFonts w:hint="eastAsia" w:ascii="宋体" w:hAnsi="宋体" w:cs="宋体"/>
          <w:b/>
          <w:bCs/>
          <w:color w:val="auto"/>
          <w:sz w:val="24"/>
          <w:szCs w:val="24"/>
          <w:highlight w:val="none"/>
        </w:rPr>
      </w:pPr>
      <w:bookmarkStart w:id="76" w:name="_Toc4749"/>
      <w:bookmarkStart w:id="77" w:name="_Toc10240"/>
      <w:bookmarkStart w:id="78" w:name="_Toc1019"/>
      <w:bookmarkStart w:id="79" w:name="_Toc11360"/>
      <w:r>
        <w:rPr>
          <w:rFonts w:hint="eastAsia" w:ascii="宋体" w:hAnsi="宋体" w:cs="宋体"/>
          <w:b/>
          <w:bCs/>
          <w:color w:val="auto"/>
          <w:sz w:val="24"/>
          <w:szCs w:val="24"/>
          <w:highlight w:val="none"/>
        </w:rPr>
        <w:t>12. 响应文件的评审、比较和否决</w:t>
      </w:r>
      <w:bookmarkEnd w:id="76"/>
      <w:bookmarkEnd w:id="77"/>
      <w:bookmarkEnd w:id="78"/>
      <w:bookmarkEnd w:id="79"/>
    </w:p>
    <w:p w14:paraId="126ED043">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12.1磋商小组仅对在实质上响应竞争性磋商文件要求的响应文件进行评估和比较。</w:t>
      </w:r>
    </w:p>
    <w:p w14:paraId="3B532F52">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在磋商过程中，磋商小组发现响应人的磋商报价明显低于其他响应人的报价，并有可能低于其企业成本的，则磋商小组可以以书面形式要求该响应人作出书面说明并提供相关证明材料。响应人不能合理说明或不能提供相关证明材料的，磋商小组对其响应文件不再进行评审。</w:t>
      </w:r>
    </w:p>
    <w:p w14:paraId="235F6962">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12.3在首轮磋商的基础上，磋商小组讨论、分析、综合各种因素后，决定是否与各方再次进行磋商。 </w:t>
      </w:r>
    </w:p>
    <w:p w14:paraId="664DA44D">
      <w:pPr>
        <w:spacing w:line="520" w:lineRule="exact"/>
        <w:ind w:firstLine="482" w:firstLineChars="200"/>
        <w:outlineLvl w:val="1"/>
        <w:rPr>
          <w:rFonts w:hint="eastAsia" w:ascii="宋体" w:hAnsi="宋体" w:cs="宋体"/>
          <w:b/>
          <w:bCs/>
          <w:color w:val="auto"/>
          <w:sz w:val="24"/>
          <w:szCs w:val="24"/>
          <w:highlight w:val="none"/>
        </w:rPr>
      </w:pPr>
      <w:bookmarkStart w:id="80" w:name="_Toc5091"/>
      <w:bookmarkStart w:id="81" w:name="_Toc21637"/>
      <w:bookmarkStart w:id="82" w:name="_Toc8886"/>
      <w:bookmarkStart w:id="83" w:name="_Toc25065"/>
      <w:r>
        <w:rPr>
          <w:rFonts w:hint="eastAsia" w:ascii="宋体" w:hAnsi="宋体" w:cs="宋体"/>
          <w:b/>
          <w:bCs/>
          <w:color w:val="auto"/>
          <w:sz w:val="24"/>
          <w:szCs w:val="24"/>
          <w:highlight w:val="none"/>
        </w:rPr>
        <w:t>13、定标</w:t>
      </w:r>
      <w:bookmarkEnd w:id="80"/>
      <w:bookmarkEnd w:id="81"/>
      <w:bookmarkEnd w:id="82"/>
      <w:bookmarkEnd w:id="83"/>
    </w:p>
    <w:p w14:paraId="0FCA9798">
      <w:pPr>
        <w:snapToGrid w:val="0"/>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磋商小组成员综合评审各响应人提交的响应文件，按总得分由高到低的顺序推荐3名成交候选人。</w:t>
      </w:r>
    </w:p>
    <w:p w14:paraId="33232869">
      <w:pPr>
        <w:spacing w:line="520" w:lineRule="exact"/>
        <w:ind w:firstLine="482" w:firstLineChars="200"/>
        <w:outlineLvl w:val="1"/>
        <w:rPr>
          <w:rFonts w:hint="eastAsia" w:ascii="宋体" w:hAnsi="宋体" w:cs="宋体"/>
          <w:b/>
          <w:bCs/>
          <w:color w:val="auto"/>
          <w:sz w:val="24"/>
          <w:szCs w:val="24"/>
          <w:highlight w:val="none"/>
        </w:rPr>
      </w:pPr>
      <w:bookmarkStart w:id="84" w:name="_Toc31352"/>
      <w:bookmarkStart w:id="85" w:name="_Toc21707"/>
      <w:bookmarkStart w:id="86" w:name="_Toc5282"/>
      <w:bookmarkStart w:id="87" w:name="_Toc17361"/>
      <w:r>
        <w:rPr>
          <w:rFonts w:hint="eastAsia" w:ascii="宋体" w:hAnsi="宋体" w:cs="宋体"/>
          <w:b/>
          <w:bCs/>
          <w:color w:val="auto"/>
          <w:sz w:val="24"/>
          <w:szCs w:val="24"/>
          <w:highlight w:val="none"/>
        </w:rPr>
        <w:t>14、合同的授予</w:t>
      </w:r>
      <w:bookmarkEnd w:id="84"/>
      <w:bookmarkEnd w:id="85"/>
      <w:bookmarkEnd w:id="86"/>
      <w:bookmarkEnd w:id="87"/>
    </w:p>
    <w:p w14:paraId="2AE0FA23">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14.1合同授予标准</w:t>
      </w:r>
    </w:p>
    <w:p w14:paraId="10E60D0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本磋商项目的合同将授予按本须知办法确定的成交人。</w:t>
      </w:r>
    </w:p>
    <w:p w14:paraId="5DFA570F">
      <w:pPr>
        <w:spacing w:line="520" w:lineRule="exact"/>
        <w:ind w:firstLine="482" w:firstLineChars="200"/>
        <w:outlineLvl w:val="1"/>
        <w:rPr>
          <w:rFonts w:hint="eastAsia" w:ascii="宋体" w:hAnsi="宋体" w:cs="宋体"/>
          <w:b/>
          <w:bCs/>
          <w:color w:val="auto"/>
          <w:sz w:val="24"/>
          <w:szCs w:val="24"/>
          <w:highlight w:val="none"/>
        </w:rPr>
      </w:pPr>
      <w:bookmarkStart w:id="88" w:name="_Toc25273"/>
      <w:bookmarkStart w:id="89" w:name="_Toc16362"/>
      <w:bookmarkStart w:id="90" w:name="_Toc16256"/>
      <w:bookmarkStart w:id="91" w:name="_Toc19301"/>
      <w:r>
        <w:rPr>
          <w:rFonts w:hint="eastAsia" w:ascii="宋体" w:hAnsi="宋体" w:cs="宋体"/>
          <w:b/>
          <w:bCs/>
          <w:color w:val="auto"/>
          <w:sz w:val="24"/>
          <w:szCs w:val="24"/>
          <w:highlight w:val="none"/>
        </w:rPr>
        <w:t>15.成交通知书</w:t>
      </w:r>
      <w:bookmarkEnd w:id="88"/>
      <w:bookmarkEnd w:id="89"/>
      <w:bookmarkEnd w:id="90"/>
      <w:bookmarkEnd w:id="91"/>
    </w:p>
    <w:p w14:paraId="228C553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15.l成交人确定后，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将向成交人发出成交通知书。</w:t>
      </w:r>
    </w:p>
    <w:p w14:paraId="5ECCA2B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15.2成交通知书是合同的组成部分。</w:t>
      </w:r>
    </w:p>
    <w:p w14:paraId="37E4EA6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15.3</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将在发出成交通知书的同时，将成交结果通知所有未成交的响应人。</w:t>
      </w:r>
    </w:p>
    <w:p w14:paraId="3AA0E2A5">
      <w:pPr>
        <w:spacing w:line="520" w:lineRule="exact"/>
        <w:ind w:firstLine="482" w:firstLineChars="200"/>
        <w:outlineLvl w:val="1"/>
        <w:rPr>
          <w:rFonts w:hint="eastAsia" w:ascii="宋体" w:hAnsi="宋体" w:cs="宋体"/>
          <w:b/>
          <w:bCs/>
          <w:color w:val="auto"/>
          <w:sz w:val="24"/>
          <w:szCs w:val="24"/>
          <w:highlight w:val="none"/>
        </w:rPr>
      </w:pPr>
      <w:bookmarkStart w:id="92" w:name="_Toc21091"/>
      <w:bookmarkStart w:id="93" w:name="_Toc27322"/>
      <w:bookmarkStart w:id="94" w:name="_Toc10464"/>
      <w:bookmarkStart w:id="95" w:name="_Toc10609"/>
      <w:r>
        <w:rPr>
          <w:rFonts w:hint="eastAsia" w:ascii="宋体" w:hAnsi="宋体" w:cs="宋体"/>
          <w:b/>
          <w:bCs/>
          <w:color w:val="auto"/>
          <w:sz w:val="24"/>
          <w:szCs w:val="24"/>
          <w:highlight w:val="none"/>
        </w:rPr>
        <w:t>16、合同协议书的签订</w:t>
      </w:r>
      <w:bookmarkEnd w:id="92"/>
      <w:bookmarkEnd w:id="93"/>
      <w:bookmarkEnd w:id="94"/>
      <w:bookmarkEnd w:id="95"/>
    </w:p>
    <w:p w14:paraId="1FB3309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16.l</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与成交人将于成交通知书发出后2个工作日内完成合同签订，按照竞争性磋商文件和成交人的响应文件签订合同。</w:t>
      </w:r>
    </w:p>
    <w:p w14:paraId="74F252D7">
      <w:pPr>
        <w:spacing w:line="520" w:lineRule="exact"/>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16.2</w:t>
      </w:r>
      <w:r>
        <w:rPr>
          <w:rFonts w:hint="eastAsia" w:ascii="宋体" w:hAnsi="宋体" w:cs="宋体"/>
          <w:color w:val="auto"/>
          <w:spacing w:val="-3"/>
          <w:sz w:val="24"/>
          <w:szCs w:val="24"/>
          <w:highlight w:val="none"/>
        </w:rPr>
        <w:t>成交人无正当理由拒签合同的</w:t>
      </w:r>
      <w:r>
        <w:rPr>
          <w:rFonts w:hint="eastAsia" w:ascii="宋体" w:hAnsi="宋体" w:cs="宋体"/>
          <w:color w:val="auto"/>
          <w:sz w:val="24"/>
          <w:szCs w:val="24"/>
          <w:highlight w:val="none"/>
        </w:rPr>
        <w:t>，则</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将废除授标，同时依法承担相应的法律责任。</w:t>
      </w:r>
    </w:p>
    <w:p w14:paraId="1941883C">
      <w:pPr>
        <w:tabs>
          <w:tab w:val="left" w:pos="362"/>
        </w:tabs>
        <w:overflowPunct w:val="0"/>
        <w:adjustRightInd w:val="0"/>
        <w:snapToGrid w:val="0"/>
        <w:spacing w:line="360" w:lineRule="auto"/>
        <w:outlineLvl w:val="1"/>
        <w:rPr>
          <w:rFonts w:hint="eastAsia" w:ascii="宋体" w:hAnsi="宋体" w:cs="宋体"/>
          <w:b/>
          <w:bCs/>
          <w:color w:val="auto"/>
          <w:sz w:val="24"/>
          <w:szCs w:val="24"/>
          <w:highlight w:val="none"/>
        </w:rPr>
      </w:pPr>
      <w:bookmarkStart w:id="96" w:name="_Toc23434"/>
      <w:bookmarkStart w:id="97" w:name="_Toc6263"/>
      <w:bookmarkStart w:id="98" w:name="_Toc3113"/>
      <w:bookmarkStart w:id="99" w:name="_Toc20610"/>
      <w:r>
        <w:rPr>
          <w:rFonts w:hint="eastAsia" w:ascii="宋体" w:hAnsi="宋体" w:cs="宋体"/>
          <w:b/>
          <w:bCs/>
          <w:color w:val="auto"/>
          <w:sz w:val="24"/>
          <w:szCs w:val="24"/>
          <w:highlight w:val="none"/>
        </w:rPr>
        <w:t>17、重新招标</w:t>
      </w:r>
      <w:bookmarkEnd w:id="96"/>
      <w:bookmarkEnd w:id="97"/>
      <w:bookmarkEnd w:id="98"/>
      <w:bookmarkEnd w:id="99"/>
    </w:p>
    <w:p w14:paraId="70D18D12">
      <w:pPr>
        <w:overflowPunct w:val="0"/>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有下列情形之一的，</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将根据情况决定重新招标或采用其他方式选择中标人。</w:t>
      </w:r>
    </w:p>
    <w:p w14:paraId="439B3768">
      <w:pPr>
        <w:overflowPunct w:val="0"/>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响应截止</w:t>
      </w:r>
      <w:r>
        <w:rPr>
          <w:rFonts w:hint="eastAsia" w:ascii="宋体" w:hAnsi="宋体" w:cs="宋体"/>
          <w:color w:val="auto"/>
          <w:sz w:val="24"/>
          <w:szCs w:val="24"/>
          <w:highlight w:val="none"/>
        </w:rPr>
        <w:t>时间止，</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不足3家的；</w:t>
      </w:r>
    </w:p>
    <w:p w14:paraId="61851B25">
      <w:pPr>
        <w:overflowPunct w:val="0"/>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2）经</w:t>
      </w:r>
      <w:r>
        <w:rPr>
          <w:rFonts w:hint="eastAsia" w:ascii="宋体" w:hAnsi="宋体" w:cs="宋体"/>
          <w:color w:val="auto"/>
          <w:sz w:val="24"/>
          <w:szCs w:val="24"/>
          <w:highlight w:val="none"/>
          <w:lang w:eastAsia="zh-CN"/>
        </w:rPr>
        <w:t>评标小组</w:t>
      </w:r>
      <w:r>
        <w:rPr>
          <w:rFonts w:hint="eastAsia" w:ascii="宋体" w:hAnsi="宋体" w:cs="宋体"/>
          <w:color w:val="auto"/>
          <w:sz w:val="24"/>
          <w:szCs w:val="24"/>
          <w:highlight w:val="none"/>
        </w:rPr>
        <w:t>评标后否决所有投标的。</w:t>
      </w:r>
    </w:p>
    <w:p w14:paraId="56EB889E">
      <w:pPr>
        <w:adjustRightInd w:val="0"/>
        <w:snapToGrid w:val="0"/>
        <w:spacing w:line="360" w:lineRule="auto"/>
        <w:jc w:val="left"/>
        <w:outlineLvl w:val="1"/>
        <w:rPr>
          <w:rFonts w:hint="eastAsia" w:ascii="宋体" w:hAnsi="宋体" w:cs="宋体"/>
          <w:b/>
          <w:bCs/>
          <w:color w:val="auto"/>
          <w:sz w:val="24"/>
          <w:szCs w:val="24"/>
          <w:highlight w:val="none"/>
        </w:rPr>
      </w:pPr>
      <w:bookmarkStart w:id="100" w:name="_Toc7155"/>
      <w:bookmarkStart w:id="101" w:name="_Toc1209"/>
      <w:bookmarkStart w:id="102" w:name="_Toc30047"/>
      <w:bookmarkStart w:id="103" w:name="_Toc32548"/>
      <w:r>
        <w:rPr>
          <w:rFonts w:hint="eastAsia" w:ascii="宋体" w:hAnsi="宋体" w:cs="宋体"/>
          <w:b/>
          <w:bCs/>
          <w:color w:val="auto"/>
          <w:sz w:val="24"/>
          <w:szCs w:val="24"/>
          <w:highlight w:val="none"/>
        </w:rPr>
        <w:t>18、不再招标</w:t>
      </w:r>
      <w:bookmarkEnd w:id="100"/>
      <w:bookmarkEnd w:id="101"/>
      <w:bookmarkEnd w:id="102"/>
      <w:bookmarkEnd w:id="103"/>
    </w:p>
    <w:p w14:paraId="4AFEC7FA">
      <w:pPr>
        <w:overflowPunct w:val="0"/>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重新招标后</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仍少于 3 个或者所有投标被否决的，属于按照国家规定需要政府审批的项目，报项目审批或核准部门批准后可以不再进行招标。</w:t>
      </w:r>
    </w:p>
    <w:p w14:paraId="602BBB1C">
      <w:pPr>
        <w:adjustRightInd w:val="0"/>
        <w:snapToGrid w:val="0"/>
        <w:spacing w:line="360" w:lineRule="auto"/>
        <w:jc w:val="left"/>
        <w:outlineLvl w:val="1"/>
        <w:rPr>
          <w:rFonts w:hint="eastAsia" w:ascii="宋体" w:hAnsi="宋体" w:cs="宋体"/>
          <w:b/>
          <w:bCs/>
          <w:color w:val="auto"/>
          <w:sz w:val="24"/>
          <w:szCs w:val="24"/>
          <w:highlight w:val="none"/>
        </w:rPr>
      </w:pPr>
      <w:bookmarkStart w:id="104" w:name="_Toc29156"/>
      <w:bookmarkStart w:id="105" w:name="_Toc3794"/>
      <w:bookmarkStart w:id="106" w:name="_Toc4460"/>
      <w:bookmarkStart w:id="107" w:name="_Toc26058"/>
      <w:r>
        <w:rPr>
          <w:rFonts w:hint="eastAsia" w:ascii="宋体" w:hAnsi="宋体" w:cs="宋体"/>
          <w:b/>
          <w:bCs/>
          <w:color w:val="auto"/>
          <w:sz w:val="24"/>
          <w:szCs w:val="24"/>
          <w:highlight w:val="none"/>
        </w:rPr>
        <w:t>19、对</w:t>
      </w:r>
      <w:r>
        <w:rPr>
          <w:rFonts w:hint="eastAsia" w:ascii="宋体" w:hAnsi="宋体" w:cs="宋体"/>
          <w:b/>
          <w:bCs/>
          <w:color w:val="auto"/>
          <w:sz w:val="24"/>
          <w:szCs w:val="24"/>
          <w:highlight w:val="none"/>
          <w:lang w:eastAsia="zh-CN"/>
        </w:rPr>
        <w:t>采购人</w:t>
      </w:r>
      <w:r>
        <w:rPr>
          <w:rFonts w:hint="eastAsia" w:ascii="宋体" w:hAnsi="宋体" w:cs="宋体"/>
          <w:b/>
          <w:bCs/>
          <w:color w:val="auto"/>
          <w:sz w:val="24"/>
          <w:szCs w:val="24"/>
          <w:highlight w:val="none"/>
        </w:rPr>
        <w:t>的纪律要求</w:t>
      </w:r>
      <w:bookmarkEnd w:id="104"/>
      <w:bookmarkEnd w:id="105"/>
      <w:bookmarkEnd w:id="106"/>
      <w:bookmarkEnd w:id="107"/>
    </w:p>
    <w:p w14:paraId="199E17F8">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不得</w:t>
      </w:r>
      <w:r>
        <w:rPr>
          <w:rFonts w:hint="eastAsia" w:ascii="宋体" w:hAnsi="宋体" w:cs="宋体"/>
          <w:color w:val="auto"/>
          <w:sz w:val="24"/>
          <w:szCs w:val="24"/>
          <w:highlight w:val="none"/>
          <w:lang w:eastAsia="zh-CN"/>
        </w:rPr>
        <w:t>泄露</w:t>
      </w:r>
      <w:r>
        <w:rPr>
          <w:rFonts w:hint="eastAsia" w:ascii="宋体" w:hAnsi="宋体" w:cs="宋体"/>
          <w:color w:val="auto"/>
          <w:sz w:val="24"/>
          <w:szCs w:val="24"/>
          <w:highlight w:val="none"/>
        </w:rPr>
        <w:t>招标活动中应当保密的情况和资料，不得与</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串通损害国家利益、社会公共利益或者他人合法权益。</w:t>
      </w:r>
    </w:p>
    <w:p w14:paraId="64664DA1">
      <w:pPr>
        <w:tabs>
          <w:tab w:val="left" w:pos="362"/>
        </w:tabs>
        <w:overflowPunct w:val="0"/>
        <w:adjustRightInd w:val="0"/>
        <w:snapToGrid w:val="0"/>
        <w:spacing w:line="360" w:lineRule="auto"/>
        <w:outlineLvl w:val="1"/>
        <w:rPr>
          <w:rFonts w:hint="eastAsia" w:ascii="宋体" w:hAnsi="宋体" w:cs="宋体"/>
          <w:b/>
          <w:bCs/>
          <w:color w:val="auto"/>
          <w:sz w:val="24"/>
          <w:szCs w:val="24"/>
          <w:highlight w:val="none"/>
        </w:rPr>
      </w:pPr>
      <w:bookmarkStart w:id="108" w:name="_Toc8959"/>
      <w:bookmarkStart w:id="109" w:name="_Toc22609"/>
      <w:bookmarkStart w:id="110" w:name="_Toc7556"/>
      <w:bookmarkStart w:id="111" w:name="_Toc19217"/>
      <w:r>
        <w:rPr>
          <w:rFonts w:hint="eastAsia" w:ascii="宋体" w:hAnsi="宋体" w:cs="宋体"/>
          <w:b/>
          <w:bCs/>
          <w:color w:val="auto"/>
          <w:sz w:val="24"/>
          <w:szCs w:val="24"/>
          <w:highlight w:val="none"/>
        </w:rPr>
        <w:t>20、对</w:t>
      </w:r>
      <w:r>
        <w:rPr>
          <w:rFonts w:hint="eastAsia" w:ascii="宋体" w:hAnsi="宋体" w:cs="宋体"/>
          <w:b/>
          <w:bCs/>
          <w:color w:val="auto"/>
          <w:sz w:val="24"/>
          <w:szCs w:val="24"/>
          <w:highlight w:val="none"/>
          <w:lang w:eastAsia="zh-CN"/>
        </w:rPr>
        <w:t>响应人</w:t>
      </w:r>
      <w:r>
        <w:rPr>
          <w:rFonts w:hint="eastAsia" w:ascii="宋体" w:hAnsi="宋体" w:cs="宋体"/>
          <w:b/>
          <w:bCs/>
          <w:color w:val="auto"/>
          <w:sz w:val="24"/>
          <w:szCs w:val="24"/>
          <w:highlight w:val="none"/>
        </w:rPr>
        <w:t>的纪律要求</w:t>
      </w:r>
      <w:bookmarkEnd w:id="108"/>
      <w:bookmarkEnd w:id="109"/>
      <w:bookmarkEnd w:id="110"/>
      <w:bookmarkEnd w:id="111"/>
    </w:p>
    <w:p w14:paraId="27696A7E">
      <w:pPr>
        <w:adjustRightInd w:val="0"/>
        <w:snapToGrid w:val="0"/>
        <w:spacing w:line="360" w:lineRule="auto"/>
        <w:ind w:firstLine="480" w:firstLineChars="200"/>
        <w:jc w:val="left"/>
        <w:rPr>
          <w:rFonts w:hint="eastAsia" w:ascii="宋体" w:hAnsi="宋体" w:cs="宋体"/>
          <w:color w:val="auto"/>
          <w:szCs w:val="24"/>
          <w:highlight w:val="none"/>
        </w:rPr>
      </w:pP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不得相互串通投标或者与</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串通投标，不得向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或者评标</w:t>
      </w:r>
      <w:r>
        <w:rPr>
          <w:rFonts w:hint="eastAsia" w:ascii="宋体" w:hAnsi="宋体" w:cs="宋体"/>
          <w:color w:val="auto"/>
          <w:sz w:val="24"/>
          <w:szCs w:val="24"/>
          <w:highlight w:val="none"/>
          <w:lang w:val="en-US" w:eastAsia="zh-CN"/>
        </w:rPr>
        <w:t>小组</w:t>
      </w:r>
      <w:r>
        <w:rPr>
          <w:rFonts w:hint="eastAsia" w:ascii="宋体" w:hAnsi="宋体" w:cs="宋体"/>
          <w:color w:val="auto"/>
          <w:sz w:val="24"/>
          <w:szCs w:val="24"/>
          <w:highlight w:val="none"/>
        </w:rPr>
        <w:t>成员行贿谋取中不得以他人名义投标或者以其他方式弄虚作假骗取中标；</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不得以任何方式干扰、影响评标工作。</w:t>
      </w:r>
    </w:p>
    <w:p w14:paraId="6C436C33">
      <w:pPr>
        <w:tabs>
          <w:tab w:val="left" w:pos="362"/>
        </w:tabs>
        <w:overflowPunct w:val="0"/>
        <w:adjustRightInd w:val="0"/>
        <w:snapToGrid w:val="0"/>
        <w:spacing w:line="360" w:lineRule="auto"/>
        <w:outlineLvl w:val="1"/>
        <w:rPr>
          <w:rFonts w:hint="eastAsia" w:ascii="宋体" w:hAnsi="宋体" w:cs="宋体"/>
          <w:b/>
          <w:bCs/>
          <w:color w:val="auto"/>
          <w:sz w:val="24"/>
          <w:szCs w:val="24"/>
          <w:highlight w:val="none"/>
        </w:rPr>
      </w:pPr>
      <w:bookmarkStart w:id="112" w:name="_Toc6718"/>
      <w:bookmarkStart w:id="113" w:name="_Toc27697"/>
      <w:bookmarkStart w:id="114" w:name="_Toc21450"/>
      <w:bookmarkStart w:id="115" w:name="_Toc6702"/>
      <w:r>
        <w:rPr>
          <w:rFonts w:hint="eastAsia" w:ascii="宋体" w:hAnsi="宋体" w:cs="宋体"/>
          <w:b/>
          <w:bCs/>
          <w:color w:val="auto"/>
          <w:sz w:val="24"/>
          <w:szCs w:val="24"/>
          <w:highlight w:val="none"/>
        </w:rPr>
        <w:t>21、对</w:t>
      </w:r>
      <w:r>
        <w:rPr>
          <w:rFonts w:hint="eastAsia" w:ascii="宋体" w:hAnsi="宋体" w:cs="宋体"/>
          <w:b/>
          <w:bCs/>
          <w:color w:val="auto"/>
          <w:sz w:val="24"/>
          <w:szCs w:val="24"/>
          <w:highlight w:val="none"/>
          <w:lang w:eastAsia="zh-CN"/>
        </w:rPr>
        <w:t>评标小组</w:t>
      </w:r>
      <w:r>
        <w:rPr>
          <w:rFonts w:hint="eastAsia" w:ascii="宋体" w:hAnsi="宋体" w:cs="宋体"/>
          <w:b/>
          <w:bCs/>
          <w:color w:val="auto"/>
          <w:sz w:val="24"/>
          <w:szCs w:val="24"/>
          <w:highlight w:val="none"/>
        </w:rPr>
        <w:t>成员的纪律要求</w:t>
      </w:r>
      <w:bookmarkEnd w:id="112"/>
      <w:bookmarkEnd w:id="113"/>
      <w:bookmarkEnd w:id="114"/>
      <w:bookmarkEnd w:id="115"/>
    </w:p>
    <w:p w14:paraId="3B8E6E96">
      <w:pPr>
        <w:overflowPunct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z w:val="24"/>
          <w:szCs w:val="24"/>
          <w:highlight w:val="none"/>
          <w:lang w:val="en-US" w:eastAsia="zh-CN"/>
        </w:rPr>
        <w:t>小组</w:t>
      </w:r>
      <w:r>
        <w:rPr>
          <w:rFonts w:hint="eastAsia" w:ascii="宋体" w:hAnsi="宋体" w:cs="宋体"/>
          <w:color w:val="auto"/>
          <w:sz w:val="24"/>
          <w:szCs w:val="24"/>
          <w:highlight w:val="none"/>
        </w:rPr>
        <w:t>成员不得收受他人的财物或者其他好处，不得向他人透漏对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文件的评标和比较、中标候选人的推荐情况以及评标有关的其他情况。在评标活动中，</w:t>
      </w:r>
      <w:r>
        <w:rPr>
          <w:rFonts w:hint="eastAsia" w:ascii="宋体" w:hAnsi="宋体" w:cs="宋体"/>
          <w:color w:val="auto"/>
          <w:sz w:val="24"/>
          <w:szCs w:val="24"/>
          <w:highlight w:val="none"/>
          <w:lang w:eastAsia="zh-CN"/>
        </w:rPr>
        <w:t>评标小组</w:t>
      </w:r>
      <w:r>
        <w:rPr>
          <w:rFonts w:hint="eastAsia" w:ascii="宋体" w:hAnsi="宋体" w:cs="宋体"/>
          <w:color w:val="auto"/>
          <w:sz w:val="24"/>
          <w:szCs w:val="24"/>
          <w:highlight w:val="none"/>
        </w:rPr>
        <w:t>成员不得擅离职守，影响评标程序正常进行，不得使用第三章“评标办法”没有规定的评标因素和标准进行评标。</w:t>
      </w:r>
    </w:p>
    <w:p w14:paraId="4FC17765">
      <w:pPr>
        <w:adjustRightInd w:val="0"/>
        <w:snapToGrid w:val="0"/>
        <w:spacing w:line="360" w:lineRule="auto"/>
        <w:jc w:val="left"/>
        <w:outlineLvl w:val="1"/>
        <w:rPr>
          <w:rFonts w:hint="eastAsia" w:ascii="宋体" w:hAnsi="宋体" w:cs="宋体"/>
          <w:b/>
          <w:bCs/>
          <w:color w:val="auto"/>
          <w:sz w:val="24"/>
          <w:szCs w:val="24"/>
          <w:highlight w:val="none"/>
        </w:rPr>
      </w:pPr>
      <w:bookmarkStart w:id="116" w:name="_Toc20809"/>
      <w:bookmarkStart w:id="117" w:name="_Toc23229"/>
      <w:bookmarkStart w:id="118" w:name="_Toc6504"/>
      <w:bookmarkStart w:id="119" w:name="_Toc19750"/>
      <w:r>
        <w:rPr>
          <w:rFonts w:hint="eastAsia" w:ascii="宋体" w:hAnsi="宋体" w:cs="宋体"/>
          <w:b/>
          <w:bCs/>
          <w:color w:val="auto"/>
          <w:sz w:val="24"/>
          <w:szCs w:val="24"/>
          <w:highlight w:val="none"/>
        </w:rPr>
        <w:t>22、对与评标活动有关的工作人员的纪律要求</w:t>
      </w:r>
      <w:bookmarkEnd w:id="116"/>
      <w:bookmarkEnd w:id="117"/>
      <w:bookmarkEnd w:id="118"/>
      <w:bookmarkEnd w:id="119"/>
    </w:p>
    <w:p w14:paraId="1A7A91E2">
      <w:pPr>
        <w:adjustRightInd w:val="0"/>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与评标活动有关的工作人员不得收受他人的财物或者其他好处，不得向他人透漏对</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文件的评标和比较、中标候选人的推荐情况以及评标有关的其他情况。在评标活动中，与评标活动有关的工作人员不得擅离职守，影响评标程序正常进行。</w:t>
      </w:r>
    </w:p>
    <w:p w14:paraId="31712732">
      <w:pPr>
        <w:adjustRightInd w:val="0"/>
        <w:snapToGrid w:val="0"/>
        <w:spacing w:line="360" w:lineRule="auto"/>
        <w:jc w:val="left"/>
        <w:outlineLvl w:val="1"/>
        <w:rPr>
          <w:rFonts w:hint="eastAsia" w:ascii="宋体" w:hAnsi="宋体" w:cs="宋体"/>
          <w:color w:val="auto"/>
          <w:sz w:val="24"/>
          <w:szCs w:val="24"/>
          <w:highlight w:val="none"/>
        </w:rPr>
      </w:pPr>
      <w:bookmarkStart w:id="120" w:name="_Toc12012"/>
      <w:bookmarkStart w:id="121" w:name="_Toc28844"/>
      <w:bookmarkStart w:id="122" w:name="_Toc11398"/>
      <w:bookmarkStart w:id="123" w:name="_Toc5592"/>
      <w:r>
        <w:rPr>
          <w:rFonts w:hint="eastAsia" w:ascii="宋体" w:hAnsi="宋体" w:cs="宋体"/>
          <w:b/>
          <w:bCs/>
          <w:color w:val="auto"/>
          <w:sz w:val="24"/>
          <w:szCs w:val="24"/>
          <w:highlight w:val="none"/>
        </w:rPr>
        <w:t>23、投诉</w:t>
      </w:r>
      <w:bookmarkEnd w:id="120"/>
      <w:bookmarkEnd w:id="121"/>
      <w:bookmarkEnd w:id="122"/>
      <w:bookmarkEnd w:id="123"/>
    </w:p>
    <w:p w14:paraId="50FC3B6A">
      <w:pPr>
        <w:adjustRightInd w:val="0"/>
        <w:snapToGrid w:val="0"/>
        <w:spacing w:line="360" w:lineRule="auto"/>
        <w:ind w:firstLine="480" w:firstLineChars="200"/>
        <w:jc w:val="left"/>
        <w:rPr>
          <w:rFonts w:hint="eastAsia" w:ascii="宋体" w:hAnsi="宋体" w:cs="宋体"/>
          <w:color w:val="auto"/>
          <w:szCs w:val="24"/>
          <w:highlight w:val="none"/>
        </w:rPr>
      </w:pP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和其他利害关系人认为本次招标活动违反法律、法规和规章规定的，有权向有关行政监督部门投诉。</w:t>
      </w:r>
    </w:p>
    <w:p w14:paraId="3B2A548D">
      <w:pPr>
        <w:tabs>
          <w:tab w:val="left" w:pos="312"/>
        </w:tabs>
        <w:spacing w:line="360" w:lineRule="auto"/>
        <w:outlineLvl w:val="1"/>
        <w:rPr>
          <w:rFonts w:hint="eastAsia" w:ascii="宋体" w:hAnsi="宋体" w:cs="宋体"/>
          <w:b/>
          <w:color w:val="auto"/>
          <w:sz w:val="24"/>
          <w:szCs w:val="24"/>
          <w:highlight w:val="none"/>
        </w:rPr>
      </w:pPr>
      <w:bookmarkStart w:id="124" w:name="_Toc19679"/>
      <w:bookmarkStart w:id="125" w:name="_Toc8983_WPSOffice_Level2"/>
      <w:bookmarkStart w:id="126" w:name="_Toc13426"/>
      <w:bookmarkStart w:id="127" w:name="_Toc25351"/>
      <w:bookmarkStart w:id="128" w:name="_Toc18108"/>
      <w:r>
        <w:rPr>
          <w:rFonts w:hint="eastAsia" w:ascii="宋体" w:hAnsi="宋体" w:cs="宋体"/>
          <w:b/>
          <w:color w:val="auto"/>
          <w:sz w:val="24"/>
          <w:szCs w:val="24"/>
          <w:highlight w:val="none"/>
        </w:rPr>
        <w:t>24、需要补充的其他内容</w:t>
      </w:r>
      <w:bookmarkEnd w:id="124"/>
      <w:bookmarkEnd w:id="125"/>
      <w:bookmarkEnd w:id="126"/>
      <w:bookmarkEnd w:id="127"/>
      <w:bookmarkEnd w:id="128"/>
    </w:p>
    <w:p w14:paraId="5E9435C0">
      <w:pPr>
        <w:adjustRightInd w:val="0"/>
        <w:snapToGrid w:val="0"/>
        <w:spacing w:line="360" w:lineRule="auto"/>
        <w:ind w:firstLine="480" w:firstLineChars="200"/>
        <w:jc w:val="left"/>
        <w:rPr>
          <w:rFonts w:hint="eastAsia"/>
          <w:color w:val="auto"/>
          <w:szCs w:val="24"/>
          <w:highlight w:val="none"/>
        </w:rPr>
      </w:pPr>
      <w:r>
        <w:rPr>
          <w:rFonts w:hint="eastAsia" w:ascii="宋体" w:hAnsi="宋体" w:cs="宋体"/>
          <w:color w:val="auto"/>
          <w:sz w:val="24"/>
          <w:szCs w:val="24"/>
          <w:highlight w:val="none"/>
        </w:rPr>
        <w:t>需要补充的其他内容：见</w:t>
      </w:r>
      <w:r>
        <w:rPr>
          <w:rFonts w:hint="eastAsia" w:ascii="宋体" w:hAnsi="宋体" w:cs="宋体"/>
          <w:color w:val="auto"/>
          <w:sz w:val="24"/>
          <w:szCs w:val="24"/>
          <w:highlight w:val="none"/>
          <w:lang w:eastAsia="zh-CN"/>
        </w:rPr>
        <w:t>响应人</w:t>
      </w:r>
      <w:r>
        <w:rPr>
          <w:rFonts w:hint="eastAsia" w:ascii="宋体" w:hAnsi="宋体" w:cs="宋体"/>
          <w:color w:val="auto"/>
          <w:sz w:val="24"/>
          <w:szCs w:val="24"/>
          <w:highlight w:val="none"/>
        </w:rPr>
        <w:t>须知前附表。</w:t>
      </w:r>
    </w:p>
    <w:p w14:paraId="5C7E1E29">
      <w:pPr>
        <w:jc w:val="center"/>
        <w:outlineLvl w:val="0"/>
        <w:rPr>
          <w:rFonts w:hint="eastAsia" w:ascii="宋体" w:hAnsi="宋体" w:cs="宋体"/>
          <w:b/>
          <w:bCs/>
          <w:color w:val="auto"/>
          <w:sz w:val="36"/>
          <w:szCs w:val="36"/>
          <w:highlight w:val="none"/>
        </w:rPr>
      </w:pPr>
      <w:r>
        <w:rPr>
          <w:b/>
          <w:bCs/>
          <w:color w:val="auto"/>
          <w:sz w:val="24"/>
          <w:szCs w:val="24"/>
          <w:highlight w:val="none"/>
        </w:rPr>
        <w:br w:type="page"/>
      </w:r>
      <w:bookmarkStart w:id="129" w:name="_Toc23848"/>
      <w:bookmarkStart w:id="130" w:name="_Toc19175"/>
      <w:bookmarkStart w:id="131" w:name="_Toc5098"/>
      <w:bookmarkStart w:id="132" w:name="_Toc5077"/>
      <w:bookmarkStart w:id="133" w:name="_Toc136"/>
      <w:r>
        <w:rPr>
          <w:rFonts w:hint="eastAsia"/>
          <w:b/>
          <w:bCs/>
          <w:color w:val="auto"/>
          <w:sz w:val="36"/>
          <w:szCs w:val="36"/>
          <w:highlight w:val="none"/>
        </w:rPr>
        <w:t>第三章  磋商办法</w:t>
      </w:r>
      <w:bookmarkEnd w:id="129"/>
      <w:bookmarkEnd w:id="130"/>
      <w:bookmarkEnd w:id="131"/>
      <w:bookmarkEnd w:id="132"/>
      <w:bookmarkEnd w:id="133"/>
    </w:p>
    <w:p w14:paraId="2EF7A052">
      <w:pPr>
        <w:numPr>
          <w:ilvl w:val="0"/>
          <w:numId w:val="2"/>
        </w:numPr>
        <w:spacing w:line="520" w:lineRule="exact"/>
        <w:ind w:firstLine="482" w:firstLineChars="200"/>
        <w:rPr>
          <w:rFonts w:hint="eastAsia" w:ascii="宋体" w:hAnsi="宋体" w:cs="宋体"/>
          <w:b/>
          <w:color w:val="auto"/>
          <w:sz w:val="24"/>
          <w:szCs w:val="24"/>
          <w:highlight w:val="none"/>
        </w:rPr>
      </w:pPr>
      <w:r>
        <w:rPr>
          <w:rFonts w:hint="eastAsia" w:ascii="宋体" w:hAnsi="宋体" w:cs="宋体"/>
          <w:b/>
          <w:bCs/>
          <w:color w:val="auto"/>
          <w:kern w:val="0"/>
          <w:sz w:val="24"/>
          <w:szCs w:val="24"/>
          <w:highlight w:val="none"/>
        </w:rPr>
        <w:t>本次磋商采用综合评分法：</w:t>
      </w:r>
      <w:r>
        <w:rPr>
          <w:rFonts w:hint="eastAsia" w:ascii="宋体" w:hAnsi="宋体" w:cs="宋体"/>
          <w:color w:val="auto"/>
          <w:sz w:val="24"/>
          <w:szCs w:val="24"/>
          <w:highlight w:val="none"/>
        </w:rPr>
        <w:t>磋商小组对满足竞争性磋商文件实质性要求和提交最终报价的响应文件，按本章节规定的评分标准进行综合评分，并按得分由高到低顺序推荐3名成交候选人。</w:t>
      </w:r>
      <w:bookmarkStart w:id="134" w:name="_Toc28030"/>
      <w:bookmarkEnd w:id="134"/>
      <w:bookmarkStart w:id="135" w:name="_Toc179632619"/>
      <w:bookmarkEnd w:id="135"/>
      <w:bookmarkStart w:id="136" w:name="_Toc19618"/>
      <w:bookmarkEnd w:id="136"/>
      <w:bookmarkStart w:id="137" w:name="_Toc29880"/>
    </w:p>
    <w:p w14:paraId="573DB39E">
      <w:pPr>
        <w:spacing w:line="520" w:lineRule="exact"/>
        <w:ind w:firstLine="482" w:firstLineChars="200"/>
        <w:outlineLvl w:val="1"/>
        <w:rPr>
          <w:rFonts w:hint="eastAsia" w:ascii="宋体" w:hAnsi="宋体" w:cs="宋体"/>
          <w:b/>
          <w:bCs/>
          <w:color w:val="auto"/>
          <w:sz w:val="24"/>
          <w:szCs w:val="24"/>
          <w:highlight w:val="none"/>
        </w:rPr>
      </w:pPr>
      <w:bookmarkStart w:id="138" w:name="_Toc21679"/>
      <w:bookmarkStart w:id="139" w:name="_Toc8271"/>
      <w:bookmarkStart w:id="140" w:name="_Toc22179"/>
      <w:bookmarkStart w:id="141" w:name="_Toc19230"/>
      <w:r>
        <w:rPr>
          <w:rFonts w:hint="eastAsia" w:ascii="宋体" w:hAnsi="宋体" w:cs="宋体"/>
          <w:b/>
          <w:bCs/>
          <w:color w:val="auto"/>
          <w:sz w:val="24"/>
          <w:szCs w:val="24"/>
          <w:highlight w:val="none"/>
        </w:rPr>
        <w:t>2. 评审标准</w:t>
      </w:r>
      <w:bookmarkEnd w:id="137"/>
      <w:bookmarkEnd w:id="138"/>
      <w:bookmarkEnd w:id="139"/>
      <w:bookmarkEnd w:id="140"/>
      <w:bookmarkEnd w:id="141"/>
    </w:p>
    <w:p w14:paraId="5E421257">
      <w:pPr>
        <w:spacing w:line="520" w:lineRule="exact"/>
        <w:ind w:firstLine="420" w:firstLineChars="175"/>
        <w:rPr>
          <w:rFonts w:hint="eastAsia" w:ascii="宋体" w:hAnsi="宋体" w:cs="宋体"/>
          <w:color w:val="auto"/>
          <w:sz w:val="24"/>
          <w:szCs w:val="24"/>
          <w:highlight w:val="none"/>
        </w:rPr>
      </w:pPr>
      <w:bookmarkStart w:id="142" w:name="_Toc23196"/>
      <w:bookmarkEnd w:id="142"/>
      <w:bookmarkStart w:id="143" w:name="_Toc31847"/>
      <w:bookmarkEnd w:id="143"/>
      <w:bookmarkStart w:id="144" w:name="_Toc12931"/>
      <w:bookmarkEnd w:id="144"/>
      <w:bookmarkStart w:id="145" w:name="_Toc179632620"/>
      <w:bookmarkEnd w:id="145"/>
      <w:r>
        <w:rPr>
          <w:rFonts w:hint="eastAsia" w:ascii="宋体" w:hAnsi="宋体" w:cs="宋体"/>
          <w:color w:val="auto"/>
          <w:sz w:val="24"/>
          <w:szCs w:val="24"/>
          <w:highlight w:val="none"/>
        </w:rPr>
        <w:t>2.1 初步评审标准</w:t>
      </w:r>
    </w:p>
    <w:p w14:paraId="7C6B535B">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2.1.1 形式评审标准：见磋商办法前附表。</w:t>
      </w:r>
    </w:p>
    <w:p w14:paraId="2C5A00D0">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2.1.2 资格评审标准：见磋商办法前附表。</w:t>
      </w:r>
    </w:p>
    <w:p w14:paraId="4E925506">
      <w:pPr>
        <w:spacing w:line="520" w:lineRule="exact"/>
        <w:ind w:firstLine="420" w:firstLineChars="175"/>
        <w:rPr>
          <w:rFonts w:hint="eastAsia" w:ascii="宋体" w:hAnsi="宋体" w:cs="宋体"/>
          <w:color w:val="auto"/>
          <w:sz w:val="24"/>
          <w:szCs w:val="24"/>
          <w:highlight w:val="none"/>
        </w:rPr>
      </w:pPr>
      <w:bookmarkStart w:id="146" w:name="_Toc16603"/>
      <w:bookmarkEnd w:id="146"/>
      <w:bookmarkStart w:id="147" w:name="_Toc11804"/>
      <w:bookmarkEnd w:id="147"/>
      <w:bookmarkStart w:id="148" w:name="_Toc179632621"/>
      <w:bookmarkEnd w:id="148"/>
      <w:bookmarkStart w:id="149" w:name="_Toc607"/>
      <w:bookmarkEnd w:id="149"/>
      <w:r>
        <w:rPr>
          <w:rFonts w:hint="eastAsia" w:ascii="宋体" w:hAnsi="宋体" w:cs="宋体"/>
          <w:color w:val="auto"/>
          <w:sz w:val="24"/>
          <w:szCs w:val="24"/>
          <w:highlight w:val="none"/>
        </w:rPr>
        <w:t>2.1.3 响应性评审标准：见磋商办法前附表。</w:t>
      </w:r>
    </w:p>
    <w:p w14:paraId="51642409">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rPr>
        <w:t>2.2 分值构成与评分标准</w:t>
      </w:r>
    </w:p>
    <w:p w14:paraId="42111E1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分值构成</w:t>
      </w:r>
    </w:p>
    <w:p w14:paraId="4B5819A5">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磋商</w:t>
      </w:r>
      <w:r>
        <w:rPr>
          <w:rFonts w:hint="eastAsia" w:ascii="宋体" w:hAnsi="宋体" w:cs="宋体"/>
          <w:color w:val="auto"/>
          <w:sz w:val="24"/>
          <w:szCs w:val="24"/>
          <w:highlight w:val="none"/>
        </w:rPr>
        <w:t>报价的权重占</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3340CF7B">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2）技术标的权重占</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w:t>
      </w:r>
    </w:p>
    <w:p w14:paraId="23AEF477">
      <w:pPr>
        <w:spacing w:line="520" w:lineRule="exact"/>
        <w:ind w:firstLine="420" w:firstLineChars="175"/>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3）综合标的权重占</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p>
    <w:p w14:paraId="2A4B66E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  评分标准：见磋商办法前附表。</w:t>
      </w:r>
      <w:bookmarkStart w:id="150" w:name="_Toc179632622"/>
      <w:bookmarkEnd w:id="150"/>
      <w:bookmarkStart w:id="151" w:name="_Toc13158"/>
      <w:bookmarkEnd w:id="151"/>
      <w:bookmarkStart w:id="152" w:name="_Toc11715"/>
      <w:bookmarkEnd w:id="152"/>
      <w:bookmarkStart w:id="153" w:name="_Toc152045604"/>
      <w:bookmarkEnd w:id="153"/>
      <w:bookmarkStart w:id="154" w:name="_Toc144974571"/>
      <w:bookmarkEnd w:id="154"/>
      <w:bookmarkStart w:id="155" w:name="_Toc25534"/>
      <w:bookmarkEnd w:id="155"/>
      <w:bookmarkStart w:id="156" w:name="_Toc152042381"/>
    </w:p>
    <w:p w14:paraId="64A75DFC">
      <w:pPr>
        <w:spacing w:line="520" w:lineRule="exact"/>
        <w:ind w:firstLine="482" w:firstLineChars="200"/>
        <w:outlineLvl w:val="1"/>
        <w:rPr>
          <w:rFonts w:hint="eastAsia" w:ascii="宋体" w:hAnsi="宋体" w:cs="宋体"/>
          <w:b/>
          <w:bCs/>
          <w:color w:val="auto"/>
          <w:sz w:val="24"/>
          <w:szCs w:val="24"/>
          <w:highlight w:val="none"/>
        </w:rPr>
      </w:pPr>
      <w:bookmarkStart w:id="157" w:name="_Toc11114"/>
      <w:bookmarkStart w:id="158" w:name="_Toc8705"/>
      <w:bookmarkStart w:id="159" w:name="_Toc6079"/>
      <w:bookmarkStart w:id="160" w:name="_Toc29942"/>
      <w:r>
        <w:rPr>
          <w:rFonts w:hint="eastAsia" w:ascii="宋体" w:hAnsi="宋体" w:cs="宋体"/>
          <w:b/>
          <w:bCs/>
          <w:color w:val="auto"/>
          <w:sz w:val="24"/>
          <w:szCs w:val="24"/>
          <w:highlight w:val="none"/>
        </w:rPr>
        <w:t>3. 磋商程序</w:t>
      </w:r>
      <w:bookmarkEnd w:id="156"/>
      <w:bookmarkEnd w:id="157"/>
      <w:bookmarkEnd w:id="158"/>
      <w:bookmarkEnd w:id="159"/>
      <w:bookmarkEnd w:id="160"/>
    </w:p>
    <w:p w14:paraId="4FB3E8E5">
      <w:pPr>
        <w:spacing w:line="520" w:lineRule="exact"/>
        <w:ind w:firstLine="480" w:firstLineChars="200"/>
        <w:rPr>
          <w:rFonts w:hint="eastAsia" w:ascii="宋体" w:hAnsi="宋体" w:cs="宋体"/>
          <w:color w:val="auto"/>
          <w:sz w:val="24"/>
          <w:szCs w:val="24"/>
          <w:highlight w:val="none"/>
        </w:rPr>
      </w:pPr>
      <w:bookmarkStart w:id="161" w:name="_Toc30372"/>
      <w:bookmarkEnd w:id="161"/>
      <w:bookmarkStart w:id="162" w:name="_Toc144974572"/>
      <w:bookmarkEnd w:id="162"/>
      <w:bookmarkStart w:id="163" w:name="_Toc8644"/>
      <w:bookmarkEnd w:id="163"/>
      <w:bookmarkStart w:id="164" w:name="_Toc31010"/>
      <w:bookmarkEnd w:id="164"/>
      <w:bookmarkStart w:id="165" w:name="_Toc152042382"/>
      <w:bookmarkEnd w:id="165"/>
      <w:bookmarkStart w:id="166" w:name="_Toc152045605"/>
      <w:bookmarkEnd w:id="166"/>
      <w:bookmarkStart w:id="167" w:name="_Toc179632623"/>
      <w:r>
        <w:rPr>
          <w:rFonts w:hint="eastAsia" w:ascii="宋体" w:hAnsi="宋体" w:cs="宋体"/>
          <w:color w:val="auto"/>
          <w:sz w:val="24"/>
          <w:szCs w:val="24"/>
          <w:highlight w:val="none"/>
        </w:rPr>
        <w:t>3.1 初步评审</w:t>
      </w:r>
      <w:bookmarkEnd w:id="167"/>
    </w:p>
    <w:p w14:paraId="71B1BE64">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 磋商小组依据本章规定的评审标准对响应文件进行初步评审。有一项不符合评审标准的，其磋商将被否决。</w:t>
      </w:r>
    </w:p>
    <w:p w14:paraId="02FF9AF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响应人有以下情形之一的，其磋商作无效标处理：</w:t>
      </w:r>
    </w:p>
    <w:p w14:paraId="5C5DB5D8">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1）串通磋商或弄虚作假或有其他违法行为的；</w:t>
      </w:r>
    </w:p>
    <w:p w14:paraId="0A0E73E8">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2）不按磋商小组要求澄清、说明</w:t>
      </w:r>
      <w:r>
        <w:rPr>
          <w:rFonts w:hint="eastAsia" w:ascii="宋体" w:hAnsi="宋体" w:eastAsia="宋体" w:cs="宋体"/>
          <w:color w:val="auto"/>
          <w:sz w:val="24"/>
          <w:szCs w:val="24"/>
          <w:highlight w:val="none"/>
        </w:rPr>
        <w:t>或补正的。</w:t>
      </w:r>
    </w:p>
    <w:p w14:paraId="6827D234">
      <w:pPr>
        <w:spacing w:line="52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竞争性磋商公告内“响应人资格条件”需提供相应的证明材料或自行承诺书。</w:t>
      </w:r>
    </w:p>
    <w:p w14:paraId="1EAD2A11">
      <w:pPr>
        <w:spacing w:line="520" w:lineRule="exact"/>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磋商报价有算术错误的，磋商小组按以下原则对磋商报价进行修正，修正的价格经响应人书面确认后具有约束力。响应人</w:t>
      </w:r>
      <w:r>
        <w:rPr>
          <w:rFonts w:hint="eastAsia" w:ascii="宋体" w:hAnsi="宋体" w:cs="宋体"/>
          <w:color w:val="auto"/>
          <w:sz w:val="24"/>
          <w:szCs w:val="24"/>
          <w:highlight w:val="none"/>
        </w:rPr>
        <w:t>不接受修正价格的，其磋商将被否决。</w:t>
      </w:r>
    </w:p>
    <w:p w14:paraId="57C61FA4">
      <w:pPr>
        <w:spacing w:line="520" w:lineRule="exact"/>
        <w:ind w:firstLine="480" w:firstLineChars="200"/>
        <w:rPr>
          <w:rFonts w:hint="eastAsia" w:ascii="宋体" w:hAnsi="宋体" w:cs="宋体"/>
          <w:color w:val="auto"/>
          <w:sz w:val="24"/>
          <w:szCs w:val="24"/>
          <w:highlight w:val="none"/>
        </w:rPr>
      </w:pPr>
      <w:bookmarkStart w:id="168" w:name="_Toc152042383"/>
      <w:bookmarkEnd w:id="168"/>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1）响应文件中的大写金额与小写金额不一致的，以大写金额为准；</w:t>
      </w:r>
    </w:p>
    <w:p w14:paraId="14D35FC2">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2）总价金额与依据单价计算出的结果不一致的，以单价金额为准修正总价，但单价金额小数点有明显错误的除外。</w:t>
      </w:r>
    </w:p>
    <w:p w14:paraId="0CE493DC">
      <w:pPr>
        <w:spacing w:line="520" w:lineRule="exact"/>
        <w:ind w:firstLine="480" w:firstLineChars="200"/>
        <w:rPr>
          <w:rFonts w:hint="eastAsia" w:ascii="宋体" w:hAnsi="宋体" w:cs="宋体"/>
          <w:color w:val="auto"/>
          <w:sz w:val="24"/>
          <w:szCs w:val="24"/>
          <w:highlight w:val="none"/>
        </w:rPr>
      </w:pPr>
      <w:bookmarkStart w:id="169" w:name="_Toc152042384"/>
      <w:bookmarkEnd w:id="169"/>
      <w:bookmarkStart w:id="170" w:name="_Toc144974573"/>
      <w:bookmarkEnd w:id="170"/>
      <w:bookmarkStart w:id="171" w:name="_Toc179632624"/>
      <w:bookmarkEnd w:id="171"/>
      <w:bookmarkStart w:id="172" w:name="_Toc152045606"/>
      <w:r>
        <w:rPr>
          <w:rFonts w:hint="eastAsia" w:ascii="宋体" w:hAnsi="宋体" w:cs="宋体"/>
          <w:color w:val="auto"/>
          <w:sz w:val="24"/>
          <w:szCs w:val="24"/>
          <w:highlight w:val="none"/>
        </w:rPr>
        <w:t>3.2 详细评审</w:t>
      </w:r>
      <w:bookmarkEnd w:id="172"/>
    </w:p>
    <w:p w14:paraId="56B3223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磋商小组按本章规定的量化因素和分值进行打分，并计算出综合评估得分。</w:t>
      </w:r>
    </w:p>
    <w:p w14:paraId="4E28776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磋商小组发现响应人最终提交的报价明显低于其他磋商报价，或者在设有招标控制价时明显低于招标控制价，使得其磋商报价可能低于其个别成本的，应当要求该响应人作出书面说明并提供相应的证明材料。响应人不能合理说明或者不能提供相应证明材料的，由磋商小组认定该响应人以低于成本报价竞标，其磋商作无效标处理。</w:t>
      </w:r>
    </w:p>
    <w:p w14:paraId="493DFE02">
      <w:pPr>
        <w:spacing w:line="520" w:lineRule="exact"/>
        <w:ind w:firstLine="480" w:firstLineChars="200"/>
        <w:rPr>
          <w:rFonts w:hint="eastAsia" w:ascii="宋体" w:hAnsi="宋体" w:cs="宋体"/>
          <w:color w:val="auto"/>
          <w:sz w:val="24"/>
          <w:szCs w:val="24"/>
          <w:highlight w:val="none"/>
        </w:rPr>
      </w:pPr>
      <w:bookmarkStart w:id="173" w:name="_Toc466566800"/>
      <w:bookmarkEnd w:id="173"/>
      <w:bookmarkStart w:id="174" w:name="_Toc418608950"/>
      <w:bookmarkEnd w:id="174"/>
      <w:bookmarkStart w:id="175" w:name="_Toc421805017"/>
      <w:bookmarkEnd w:id="175"/>
      <w:bookmarkStart w:id="176" w:name="_Toc401926485"/>
      <w:bookmarkEnd w:id="176"/>
      <w:bookmarkStart w:id="177" w:name="_Toc152042385"/>
      <w:bookmarkEnd w:id="177"/>
      <w:bookmarkStart w:id="178" w:name="_Toc387498748"/>
      <w:bookmarkEnd w:id="178"/>
      <w:bookmarkStart w:id="179" w:name="_Toc144974575"/>
      <w:bookmarkEnd w:id="179"/>
      <w:bookmarkStart w:id="180" w:name="_Toc401512224"/>
      <w:bookmarkEnd w:id="180"/>
      <w:bookmarkStart w:id="181" w:name="_Toc179632625"/>
      <w:bookmarkEnd w:id="181"/>
      <w:bookmarkStart w:id="182" w:name="_Toc418605429"/>
      <w:bookmarkEnd w:id="182"/>
      <w:bookmarkStart w:id="183" w:name="_Toc389384087"/>
      <w:bookmarkEnd w:id="183"/>
      <w:bookmarkStart w:id="184" w:name="_Toc423358132"/>
      <w:bookmarkEnd w:id="184"/>
      <w:bookmarkStart w:id="185" w:name="_Toc421698384"/>
      <w:bookmarkEnd w:id="185"/>
      <w:bookmarkStart w:id="186" w:name="_Toc466566711"/>
      <w:bookmarkEnd w:id="186"/>
      <w:bookmarkStart w:id="187" w:name="_Toc152045607"/>
      <w:r>
        <w:rPr>
          <w:rFonts w:hint="eastAsia" w:ascii="宋体" w:hAnsi="宋体" w:cs="宋体"/>
          <w:color w:val="auto"/>
          <w:sz w:val="24"/>
          <w:szCs w:val="24"/>
          <w:highlight w:val="none"/>
        </w:rPr>
        <w:t xml:space="preserve">3.3 </w:t>
      </w:r>
      <w:bookmarkEnd w:id="187"/>
      <w:r>
        <w:rPr>
          <w:rFonts w:hint="eastAsia" w:ascii="宋体" w:hAnsi="宋体" w:cs="宋体"/>
          <w:color w:val="auto"/>
          <w:sz w:val="24"/>
          <w:szCs w:val="24"/>
          <w:highlight w:val="none"/>
        </w:rPr>
        <w:t>响应文件的澄清和补正</w:t>
      </w:r>
    </w:p>
    <w:p w14:paraId="694CEDA5">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3.3.1在磋商过程中，磋商小组可以书面形式要求响应人对所提交响应文件中不明确的内容进行书面澄清或说明，或者对细微偏差进行补正。磋商小组不接受响应人主动提出的澄清、说明或补正。</w:t>
      </w:r>
    </w:p>
    <w:p w14:paraId="7F4C1BD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澄清、说明和补正不得改变响应文件的实质性内容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算术性错误修正的除外）。响应人的书面澄清、说明和补正属于响应文件的组成部分。</w:t>
      </w:r>
    </w:p>
    <w:p w14:paraId="109819FB">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磋商小组对响应人提交的澄清、说明或补正有疑问的，可以要求响应人进一步澄清、说明或补正，直至满足磋商小组的要求。</w:t>
      </w:r>
    </w:p>
    <w:p w14:paraId="7B33B8A7">
      <w:pPr>
        <w:spacing w:line="520" w:lineRule="exact"/>
        <w:ind w:firstLine="480" w:firstLineChars="200"/>
        <w:rPr>
          <w:rFonts w:hint="eastAsia" w:ascii="宋体" w:hAnsi="宋体" w:cs="宋体"/>
          <w:color w:val="auto"/>
          <w:sz w:val="24"/>
          <w:szCs w:val="24"/>
          <w:highlight w:val="none"/>
        </w:rPr>
      </w:pPr>
      <w:bookmarkStart w:id="188" w:name="_Toc421805018"/>
      <w:bookmarkEnd w:id="188"/>
      <w:bookmarkStart w:id="189" w:name="_Toc152042386"/>
      <w:bookmarkEnd w:id="189"/>
      <w:bookmarkStart w:id="190" w:name="_Toc401926486"/>
      <w:bookmarkEnd w:id="190"/>
      <w:bookmarkStart w:id="191" w:name="_Toc418608951"/>
      <w:bookmarkEnd w:id="191"/>
      <w:bookmarkStart w:id="192" w:name="_Toc152045608"/>
      <w:bookmarkEnd w:id="192"/>
      <w:bookmarkStart w:id="193" w:name="_Toc466566712"/>
      <w:bookmarkEnd w:id="193"/>
      <w:bookmarkStart w:id="194" w:name="_Toc466566801"/>
      <w:bookmarkEnd w:id="194"/>
      <w:bookmarkStart w:id="195" w:name="_Toc389384088"/>
      <w:bookmarkEnd w:id="195"/>
      <w:bookmarkStart w:id="196" w:name="_Toc423358133"/>
      <w:bookmarkEnd w:id="196"/>
      <w:bookmarkStart w:id="197" w:name="_Toc421698385"/>
      <w:bookmarkEnd w:id="197"/>
      <w:bookmarkStart w:id="198" w:name="_Toc401512225"/>
      <w:bookmarkEnd w:id="198"/>
      <w:bookmarkStart w:id="199" w:name="_Toc179632626"/>
      <w:bookmarkEnd w:id="199"/>
      <w:bookmarkStart w:id="200" w:name="_Toc418605430"/>
      <w:bookmarkEnd w:id="200"/>
      <w:bookmarkStart w:id="201" w:name="_Toc144974576"/>
      <w:bookmarkEnd w:id="201"/>
      <w:bookmarkStart w:id="202" w:name="_Toc387498749"/>
      <w:r>
        <w:rPr>
          <w:rFonts w:hint="eastAsia" w:ascii="宋体" w:hAnsi="宋体" w:cs="宋体"/>
          <w:color w:val="auto"/>
          <w:sz w:val="24"/>
          <w:szCs w:val="24"/>
          <w:highlight w:val="none"/>
        </w:rPr>
        <w:t>3.4响应人的最终得分</w:t>
      </w:r>
      <w:bookmarkEnd w:id="202"/>
    </w:p>
    <w:p w14:paraId="45E70A7D">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1）磋商小组完成对最终磋商报价、技术标和综合标的汇总后，取平均值作为该响应人的最终得分。</w:t>
      </w:r>
    </w:p>
    <w:p w14:paraId="2A729F86">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2）计算分值均保留两位小数。</w:t>
      </w:r>
    </w:p>
    <w:p w14:paraId="7BA6217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3.5磋商结果</w:t>
      </w:r>
    </w:p>
    <w:p w14:paraId="2EF8C63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3.5.1磋商小组按照得分由高到低的顺序推荐3名成交候选人。</w:t>
      </w:r>
    </w:p>
    <w:p w14:paraId="04D38EE0">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3.5.2 磋商小组完成磋商后，应当向</w:t>
      </w:r>
      <w:r>
        <w:rPr>
          <w:rFonts w:hint="eastAsia" w:ascii="宋体" w:hAnsi="宋体" w:cs="宋体"/>
          <w:color w:val="auto"/>
          <w:sz w:val="24"/>
          <w:szCs w:val="24"/>
          <w:highlight w:val="none"/>
          <w:lang w:eastAsia="zh-CN"/>
        </w:rPr>
        <w:t>采购人</w:t>
      </w:r>
      <w:r>
        <w:rPr>
          <w:rFonts w:hint="eastAsia" w:ascii="宋体" w:hAnsi="宋体" w:cs="宋体"/>
          <w:color w:val="auto"/>
          <w:sz w:val="24"/>
          <w:szCs w:val="24"/>
          <w:highlight w:val="none"/>
        </w:rPr>
        <w:t>提交书面评标报告。</w:t>
      </w:r>
    </w:p>
    <w:p w14:paraId="53587EBA">
      <w:pPr>
        <w:spacing w:line="520" w:lineRule="exact"/>
        <w:jc w:val="center"/>
        <w:rPr>
          <w:rFonts w:ascii="宋体" w:hAnsi="宋体" w:cs="宋体"/>
          <w:color w:val="auto"/>
          <w:sz w:val="44"/>
          <w:szCs w:val="44"/>
          <w:highlight w:val="none"/>
        </w:rPr>
      </w:pPr>
      <w:r>
        <w:rPr>
          <w:b/>
          <w:color w:val="auto"/>
          <w:sz w:val="30"/>
          <w:szCs w:val="30"/>
          <w:highlight w:val="none"/>
        </w:rPr>
        <w:br w:type="page"/>
      </w:r>
      <w:r>
        <w:rPr>
          <w:rFonts w:hint="eastAsia"/>
          <w:b/>
          <w:color w:val="auto"/>
          <w:sz w:val="36"/>
          <w:szCs w:val="36"/>
          <w:highlight w:val="none"/>
        </w:rPr>
        <w:t>初步评审表</w:t>
      </w:r>
    </w:p>
    <w:tbl>
      <w:tblPr>
        <w:tblStyle w:val="19"/>
        <w:tblpPr w:leftFromText="180" w:rightFromText="180" w:vertAnchor="text" w:horzAnchor="margin" w:tblpY="631"/>
        <w:tblOverlap w:val="never"/>
        <w:tblW w:w="964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60"/>
        <w:gridCol w:w="793"/>
        <w:gridCol w:w="3533"/>
        <w:gridCol w:w="4563"/>
      </w:tblGrid>
      <w:tr w14:paraId="6C66BE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553" w:type="dxa"/>
            <w:gridSpan w:val="2"/>
            <w:tcBorders>
              <w:top w:val="single" w:color="auto" w:sz="4" w:space="0"/>
              <w:left w:val="single" w:color="auto" w:sz="4" w:space="0"/>
              <w:bottom w:val="single" w:color="auto" w:sz="4" w:space="0"/>
              <w:right w:val="single" w:color="auto" w:sz="4" w:space="0"/>
            </w:tcBorders>
            <w:noWrap w:val="0"/>
            <w:vAlign w:val="center"/>
          </w:tcPr>
          <w:p w14:paraId="3BD4B5A8">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条款号</w:t>
            </w:r>
          </w:p>
        </w:tc>
        <w:tc>
          <w:tcPr>
            <w:tcW w:w="3533" w:type="dxa"/>
            <w:tcBorders>
              <w:top w:val="single" w:color="auto" w:sz="4" w:space="0"/>
              <w:left w:val="nil"/>
              <w:bottom w:val="single" w:color="auto" w:sz="4" w:space="0"/>
              <w:right w:val="single" w:color="auto" w:sz="4" w:space="0"/>
            </w:tcBorders>
            <w:noWrap w:val="0"/>
            <w:vAlign w:val="center"/>
          </w:tcPr>
          <w:p w14:paraId="1FB22928">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评审因素</w:t>
            </w:r>
          </w:p>
        </w:tc>
        <w:tc>
          <w:tcPr>
            <w:tcW w:w="4563" w:type="dxa"/>
            <w:tcBorders>
              <w:top w:val="single" w:color="auto" w:sz="4" w:space="0"/>
              <w:left w:val="nil"/>
              <w:bottom w:val="single" w:color="auto" w:sz="4" w:space="0"/>
              <w:right w:val="single" w:color="auto" w:sz="4" w:space="0"/>
            </w:tcBorders>
            <w:noWrap w:val="0"/>
            <w:vAlign w:val="center"/>
          </w:tcPr>
          <w:p w14:paraId="26CB4FF2">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评审标准</w:t>
            </w:r>
          </w:p>
        </w:tc>
      </w:tr>
      <w:tr w14:paraId="21D509E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30" w:hRule="atLeast"/>
        </w:trPr>
        <w:tc>
          <w:tcPr>
            <w:tcW w:w="760" w:type="dxa"/>
            <w:vMerge w:val="restart"/>
            <w:tcBorders>
              <w:top w:val="single" w:color="auto" w:sz="0" w:space="0"/>
              <w:left w:val="single" w:color="auto" w:sz="4" w:space="0"/>
              <w:bottom w:val="inset" w:color="auto" w:sz="6" w:space="0"/>
              <w:right w:val="single" w:color="auto" w:sz="4" w:space="0"/>
            </w:tcBorders>
            <w:noWrap w:val="0"/>
            <w:vAlign w:val="center"/>
          </w:tcPr>
          <w:p w14:paraId="08BA54EA">
            <w:pPr>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2.1.1</w:t>
            </w:r>
          </w:p>
        </w:tc>
        <w:tc>
          <w:tcPr>
            <w:tcW w:w="793" w:type="dxa"/>
            <w:vMerge w:val="restart"/>
            <w:tcBorders>
              <w:top w:val="single" w:color="auto" w:sz="0" w:space="0"/>
              <w:left w:val="single" w:color="auto" w:sz="0" w:space="0"/>
              <w:bottom w:val="inset" w:color="auto" w:sz="6" w:space="0"/>
              <w:right w:val="single" w:color="auto" w:sz="4" w:space="0"/>
            </w:tcBorders>
            <w:noWrap w:val="0"/>
            <w:vAlign w:val="center"/>
          </w:tcPr>
          <w:p w14:paraId="1EC1568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形式</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lang w:eastAsia="zh-CN"/>
              </w:rPr>
              <w:t>）</w:t>
            </w:r>
          </w:p>
          <w:p w14:paraId="1D4340E5">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评审</w:t>
            </w:r>
          </w:p>
          <w:p w14:paraId="7C928CD6">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标准</w:t>
            </w:r>
          </w:p>
        </w:tc>
        <w:tc>
          <w:tcPr>
            <w:tcW w:w="3533" w:type="dxa"/>
            <w:tcBorders>
              <w:top w:val="single" w:color="auto" w:sz="4" w:space="0"/>
              <w:left w:val="single" w:color="auto" w:sz="0" w:space="0"/>
              <w:bottom w:val="single" w:color="auto" w:sz="4" w:space="0"/>
              <w:right w:val="single" w:color="auto" w:sz="4" w:space="0"/>
            </w:tcBorders>
            <w:noWrap w:val="0"/>
            <w:vAlign w:val="center"/>
          </w:tcPr>
          <w:p w14:paraId="5394D0F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响应人名称</w:t>
            </w:r>
          </w:p>
        </w:tc>
        <w:tc>
          <w:tcPr>
            <w:tcW w:w="4563" w:type="dxa"/>
            <w:tcBorders>
              <w:top w:val="single" w:color="auto" w:sz="4" w:space="0"/>
              <w:left w:val="single" w:color="auto" w:sz="0" w:space="0"/>
              <w:bottom w:val="single" w:color="auto" w:sz="4" w:space="0"/>
              <w:right w:val="single" w:color="auto" w:sz="4" w:space="0"/>
            </w:tcBorders>
            <w:noWrap w:val="0"/>
            <w:vAlign w:val="center"/>
          </w:tcPr>
          <w:p w14:paraId="2910F20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与营业执照或法人证书、资质证书一致</w:t>
            </w:r>
          </w:p>
        </w:tc>
      </w:tr>
      <w:tr w14:paraId="0627DBC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24" w:hRule="atLeast"/>
        </w:trPr>
        <w:tc>
          <w:tcPr>
            <w:tcW w:w="760" w:type="dxa"/>
            <w:vMerge w:val="continue"/>
            <w:tcBorders>
              <w:top w:val="single" w:color="auto" w:sz="0" w:space="0"/>
              <w:left w:val="single" w:color="auto" w:sz="4" w:space="0"/>
              <w:bottom w:val="inset" w:color="auto" w:sz="6" w:space="0"/>
              <w:right w:val="single" w:color="auto" w:sz="4" w:space="0"/>
            </w:tcBorders>
            <w:noWrap w:val="0"/>
            <w:vAlign w:val="center"/>
          </w:tcPr>
          <w:p w14:paraId="401D22B3">
            <w:pPr>
              <w:widowControl/>
              <w:jc w:val="left"/>
              <w:rPr>
                <w:rFonts w:ascii="宋体" w:hAnsi="宋体"/>
                <w:color w:val="auto"/>
                <w:sz w:val="24"/>
                <w:szCs w:val="24"/>
                <w:highlight w:val="none"/>
              </w:rPr>
            </w:pPr>
          </w:p>
        </w:tc>
        <w:tc>
          <w:tcPr>
            <w:tcW w:w="793" w:type="dxa"/>
            <w:vMerge w:val="continue"/>
            <w:tcBorders>
              <w:top w:val="single" w:color="auto" w:sz="0" w:space="0"/>
              <w:left w:val="single" w:color="auto" w:sz="0" w:space="0"/>
              <w:bottom w:val="inset" w:color="auto" w:sz="6" w:space="0"/>
              <w:right w:val="single" w:color="auto" w:sz="4" w:space="0"/>
            </w:tcBorders>
            <w:noWrap w:val="0"/>
            <w:vAlign w:val="center"/>
          </w:tcPr>
          <w:p w14:paraId="40CD93F0">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color w:val="auto"/>
                <w:sz w:val="24"/>
                <w:szCs w:val="24"/>
                <w:highlight w:val="none"/>
              </w:rPr>
            </w:pPr>
          </w:p>
        </w:tc>
        <w:tc>
          <w:tcPr>
            <w:tcW w:w="3533" w:type="dxa"/>
            <w:tcBorders>
              <w:top w:val="single" w:color="auto" w:sz="4" w:space="0"/>
              <w:left w:val="single" w:color="auto" w:sz="0" w:space="0"/>
              <w:bottom w:val="single" w:color="auto" w:sz="4" w:space="0"/>
              <w:right w:val="single" w:color="auto" w:sz="4" w:space="0"/>
            </w:tcBorders>
            <w:noWrap w:val="0"/>
            <w:vAlign w:val="center"/>
          </w:tcPr>
          <w:p w14:paraId="276B40C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磋商函签字</w:t>
            </w:r>
          </w:p>
          <w:p w14:paraId="541048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盖章</w:t>
            </w:r>
          </w:p>
        </w:tc>
        <w:tc>
          <w:tcPr>
            <w:tcW w:w="4563" w:type="dxa"/>
            <w:tcBorders>
              <w:top w:val="single" w:color="auto" w:sz="4" w:space="0"/>
              <w:left w:val="single" w:color="auto" w:sz="0" w:space="0"/>
              <w:bottom w:val="single" w:color="auto" w:sz="4" w:space="0"/>
              <w:right w:val="single" w:color="auto" w:sz="4" w:space="0"/>
            </w:tcBorders>
            <w:noWrap w:val="0"/>
            <w:vAlign w:val="center"/>
          </w:tcPr>
          <w:p w14:paraId="26D1627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有法定代表人或其委托代理人签字并加盖单位公章</w:t>
            </w:r>
          </w:p>
        </w:tc>
      </w:tr>
      <w:tr w14:paraId="7BE3CD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3" w:hRule="atLeast"/>
        </w:trPr>
        <w:tc>
          <w:tcPr>
            <w:tcW w:w="760" w:type="dxa"/>
            <w:vMerge w:val="continue"/>
            <w:tcBorders>
              <w:top w:val="single" w:color="auto" w:sz="0" w:space="0"/>
              <w:left w:val="single" w:color="auto" w:sz="4" w:space="0"/>
              <w:bottom w:val="inset" w:color="auto" w:sz="6" w:space="0"/>
              <w:right w:val="single" w:color="auto" w:sz="4" w:space="0"/>
            </w:tcBorders>
            <w:noWrap w:val="0"/>
            <w:vAlign w:val="center"/>
          </w:tcPr>
          <w:p w14:paraId="0D9B6BD8">
            <w:pPr>
              <w:widowControl/>
              <w:jc w:val="left"/>
              <w:rPr>
                <w:rFonts w:ascii="宋体" w:hAnsi="宋体"/>
                <w:color w:val="auto"/>
                <w:sz w:val="24"/>
                <w:szCs w:val="24"/>
                <w:highlight w:val="none"/>
              </w:rPr>
            </w:pPr>
          </w:p>
        </w:tc>
        <w:tc>
          <w:tcPr>
            <w:tcW w:w="793" w:type="dxa"/>
            <w:vMerge w:val="continue"/>
            <w:tcBorders>
              <w:top w:val="single" w:color="auto" w:sz="0" w:space="0"/>
              <w:left w:val="single" w:color="auto" w:sz="0" w:space="0"/>
              <w:bottom w:val="inset" w:color="auto" w:sz="6" w:space="0"/>
              <w:right w:val="single" w:color="auto" w:sz="4" w:space="0"/>
            </w:tcBorders>
            <w:noWrap w:val="0"/>
            <w:vAlign w:val="center"/>
          </w:tcPr>
          <w:p w14:paraId="1BC29A5B">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宋体" w:hAnsi="宋体"/>
                <w:color w:val="auto"/>
                <w:sz w:val="24"/>
                <w:szCs w:val="24"/>
                <w:highlight w:val="none"/>
              </w:rPr>
            </w:pPr>
          </w:p>
        </w:tc>
        <w:tc>
          <w:tcPr>
            <w:tcW w:w="3533" w:type="dxa"/>
            <w:tcBorders>
              <w:top w:val="single" w:color="auto" w:sz="4" w:space="0"/>
              <w:left w:val="single" w:color="auto" w:sz="0" w:space="0"/>
              <w:bottom w:val="single" w:color="auto" w:sz="4" w:space="0"/>
              <w:right w:val="single" w:color="auto" w:sz="4" w:space="0"/>
            </w:tcBorders>
            <w:noWrap w:val="0"/>
            <w:vAlign w:val="center"/>
          </w:tcPr>
          <w:p w14:paraId="20611A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报价唯一</w:t>
            </w:r>
          </w:p>
        </w:tc>
        <w:tc>
          <w:tcPr>
            <w:tcW w:w="4563" w:type="dxa"/>
            <w:tcBorders>
              <w:top w:val="single" w:color="auto" w:sz="4" w:space="0"/>
              <w:left w:val="single" w:color="auto" w:sz="0" w:space="0"/>
              <w:bottom w:val="single" w:color="auto" w:sz="4" w:space="0"/>
              <w:right w:val="single" w:color="auto" w:sz="4" w:space="0"/>
            </w:tcBorders>
            <w:noWrap w:val="0"/>
            <w:vAlign w:val="center"/>
          </w:tcPr>
          <w:p w14:paraId="368CAA2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磋商函及磋商函附录中只能有一个有效报价</w:t>
            </w:r>
          </w:p>
        </w:tc>
      </w:tr>
      <w:tr w14:paraId="518158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760" w:type="dxa"/>
            <w:vMerge w:val="restart"/>
            <w:tcBorders>
              <w:top w:val="single" w:color="auto" w:sz="4" w:space="0"/>
              <w:left w:val="single" w:color="auto" w:sz="4" w:space="0"/>
              <w:right w:val="single" w:color="auto" w:sz="4" w:space="0"/>
            </w:tcBorders>
            <w:noWrap w:val="0"/>
            <w:vAlign w:val="center"/>
          </w:tcPr>
          <w:p w14:paraId="02FD103A">
            <w:pPr>
              <w:spacing w:line="480" w:lineRule="exact"/>
              <w:jc w:val="center"/>
              <w:rPr>
                <w:rFonts w:ascii="宋体" w:hAnsi="宋体"/>
                <w:color w:val="auto"/>
                <w:sz w:val="24"/>
                <w:szCs w:val="24"/>
                <w:highlight w:val="none"/>
              </w:rPr>
            </w:pPr>
            <w:r>
              <w:rPr>
                <w:rFonts w:hint="eastAsia" w:ascii="宋体" w:hAnsi="宋体"/>
                <w:color w:val="auto"/>
                <w:sz w:val="24"/>
                <w:szCs w:val="24"/>
                <w:highlight w:val="none"/>
              </w:rPr>
              <w:t>2.1.2</w:t>
            </w:r>
          </w:p>
        </w:tc>
        <w:tc>
          <w:tcPr>
            <w:tcW w:w="793" w:type="dxa"/>
            <w:vMerge w:val="restart"/>
            <w:tcBorders>
              <w:top w:val="single" w:color="auto" w:sz="4" w:space="0"/>
              <w:left w:val="single" w:color="auto" w:sz="4" w:space="0"/>
              <w:right w:val="single" w:color="auto" w:sz="4" w:space="0"/>
            </w:tcBorders>
            <w:noWrap w:val="0"/>
            <w:vAlign w:val="center"/>
          </w:tcPr>
          <w:p w14:paraId="4A3450B8">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olor w:val="auto"/>
                <w:sz w:val="24"/>
                <w:szCs w:val="24"/>
                <w:highlight w:val="none"/>
              </w:rPr>
            </w:pPr>
            <w:r>
              <w:rPr>
                <w:rFonts w:hint="eastAsia" w:ascii="宋体" w:hAnsi="宋体"/>
                <w:color w:val="auto"/>
                <w:sz w:val="24"/>
                <w:szCs w:val="24"/>
                <w:highlight w:val="none"/>
              </w:rPr>
              <w:t>资格评审标准</w:t>
            </w:r>
          </w:p>
        </w:tc>
        <w:tc>
          <w:tcPr>
            <w:tcW w:w="3533" w:type="dxa"/>
            <w:tcBorders>
              <w:top w:val="single" w:color="auto" w:sz="4" w:space="0"/>
              <w:left w:val="nil"/>
              <w:bottom w:val="single" w:color="auto" w:sz="4" w:space="0"/>
              <w:right w:val="single" w:color="auto" w:sz="4" w:space="0"/>
            </w:tcBorders>
            <w:noWrap w:val="0"/>
            <w:vAlign w:val="center"/>
          </w:tcPr>
          <w:p w14:paraId="00B9C7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满足《中华人民共和国政府采购法》第二十二条规定</w:t>
            </w:r>
          </w:p>
        </w:tc>
        <w:tc>
          <w:tcPr>
            <w:tcW w:w="4563" w:type="dxa"/>
            <w:tcBorders>
              <w:top w:val="single" w:color="auto" w:sz="4" w:space="0"/>
              <w:left w:val="nil"/>
              <w:bottom w:val="single" w:color="auto" w:sz="4" w:space="0"/>
              <w:right w:val="single" w:color="auto" w:sz="4" w:space="0"/>
            </w:tcBorders>
            <w:noWrap w:val="0"/>
            <w:vAlign w:val="center"/>
          </w:tcPr>
          <w:p w14:paraId="196976A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符合《中华人民共和国政府采购法》第二十二条的规定</w:t>
            </w:r>
          </w:p>
        </w:tc>
      </w:tr>
      <w:tr w14:paraId="469974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35" w:hRule="atLeast"/>
        </w:trPr>
        <w:tc>
          <w:tcPr>
            <w:tcW w:w="760" w:type="dxa"/>
            <w:vMerge w:val="continue"/>
            <w:tcBorders>
              <w:left w:val="single" w:color="auto" w:sz="4" w:space="0"/>
              <w:right w:val="single" w:color="auto" w:sz="4" w:space="0"/>
            </w:tcBorders>
            <w:noWrap w:val="0"/>
            <w:vAlign w:val="center"/>
          </w:tcPr>
          <w:p w14:paraId="05CFE43C">
            <w:pPr>
              <w:spacing w:line="480" w:lineRule="exact"/>
              <w:jc w:val="center"/>
              <w:rPr>
                <w:rFonts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10A066B9">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0BD5E9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营业执照</w:t>
            </w:r>
          </w:p>
        </w:tc>
        <w:tc>
          <w:tcPr>
            <w:tcW w:w="4563" w:type="dxa"/>
            <w:tcBorders>
              <w:top w:val="single" w:color="auto" w:sz="4" w:space="0"/>
              <w:left w:val="nil"/>
              <w:bottom w:val="single" w:color="auto" w:sz="4" w:space="0"/>
              <w:right w:val="single" w:color="auto" w:sz="4" w:space="0"/>
            </w:tcBorders>
            <w:noWrap w:val="0"/>
            <w:vAlign w:val="center"/>
          </w:tcPr>
          <w:p w14:paraId="5E8B3FB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39B5E26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0B3F28D3">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7ABDC3CB">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0CDEE50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“国家企业信用信息”中公示的公司信息、股东或投资人信息截图</w:t>
            </w:r>
          </w:p>
        </w:tc>
        <w:tc>
          <w:tcPr>
            <w:tcW w:w="4563" w:type="dxa"/>
            <w:tcBorders>
              <w:top w:val="single" w:color="auto" w:sz="4" w:space="0"/>
              <w:left w:val="nil"/>
              <w:right w:val="single" w:color="auto" w:sz="4" w:space="0"/>
            </w:tcBorders>
            <w:noWrap w:val="0"/>
            <w:vAlign w:val="center"/>
          </w:tcPr>
          <w:p w14:paraId="7674B5A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1FF5C2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2D4C654E">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32A09E3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4F7F5D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具有履行本项目服务内容所必须的设备和专业技术服务能力</w:t>
            </w:r>
          </w:p>
        </w:tc>
        <w:tc>
          <w:tcPr>
            <w:tcW w:w="4563" w:type="dxa"/>
            <w:tcBorders>
              <w:top w:val="single" w:color="auto" w:sz="4" w:space="0"/>
              <w:left w:val="nil"/>
              <w:right w:val="single" w:color="auto" w:sz="4" w:space="0"/>
            </w:tcBorders>
            <w:noWrap w:val="0"/>
            <w:vAlign w:val="center"/>
          </w:tcPr>
          <w:p w14:paraId="12F8EFF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31BE4F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28E16307">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3CB4C42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4CFF8A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财务情况</w:t>
            </w:r>
          </w:p>
        </w:tc>
        <w:tc>
          <w:tcPr>
            <w:tcW w:w="4563" w:type="dxa"/>
            <w:tcBorders>
              <w:top w:val="single" w:color="auto" w:sz="4" w:space="0"/>
              <w:left w:val="nil"/>
              <w:right w:val="single" w:color="auto" w:sz="4" w:space="0"/>
            </w:tcBorders>
            <w:noWrap w:val="0"/>
            <w:vAlign w:val="center"/>
          </w:tcPr>
          <w:p w14:paraId="3F3E1F1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5385CC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5" w:hRule="atLeast"/>
        </w:trPr>
        <w:tc>
          <w:tcPr>
            <w:tcW w:w="760" w:type="dxa"/>
            <w:vMerge w:val="continue"/>
            <w:tcBorders>
              <w:left w:val="single" w:color="auto" w:sz="4" w:space="0"/>
              <w:right w:val="single" w:color="auto" w:sz="4" w:space="0"/>
            </w:tcBorders>
            <w:noWrap w:val="0"/>
            <w:vAlign w:val="center"/>
          </w:tcPr>
          <w:p w14:paraId="2C27DB0D">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45D1CAD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7BC63B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依法缴纳税收和社会保障资金，响应人须提供承诺书</w:t>
            </w:r>
          </w:p>
        </w:tc>
        <w:tc>
          <w:tcPr>
            <w:tcW w:w="4563" w:type="dxa"/>
            <w:tcBorders>
              <w:top w:val="single" w:color="auto" w:sz="4" w:space="0"/>
              <w:left w:val="nil"/>
              <w:right w:val="single" w:color="auto" w:sz="4" w:space="0"/>
            </w:tcBorders>
            <w:noWrap w:val="0"/>
            <w:vAlign w:val="center"/>
          </w:tcPr>
          <w:p w14:paraId="6E9B530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086112C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16E4BA6A">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5F2ECD5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74CD15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无商业贿赂及无不正当竞争行为的承诺书</w:t>
            </w:r>
          </w:p>
        </w:tc>
        <w:tc>
          <w:tcPr>
            <w:tcW w:w="4563" w:type="dxa"/>
            <w:tcBorders>
              <w:top w:val="single" w:color="auto" w:sz="4" w:space="0"/>
              <w:left w:val="nil"/>
              <w:right w:val="single" w:color="auto" w:sz="4" w:space="0"/>
            </w:tcBorders>
            <w:noWrap w:val="0"/>
            <w:vAlign w:val="center"/>
          </w:tcPr>
          <w:p w14:paraId="6A8AB27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2C7DEA5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1CC3F6E5">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77AD80A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74E4F2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无行贿犯罪记录在中国裁判文书网自行查询结果或自行承诺</w:t>
            </w:r>
          </w:p>
        </w:tc>
        <w:tc>
          <w:tcPr>
            <w:tcW w:w="4563" w:type="dxa"/>
            <w:tcBorders>
              <w:top w:val="single" w:color="auto" w:sz="4" w:space="0"/>
              <w:left w:val="nil"/>
              <w:right w:val="single" w:color="auto" w:sz="4" w:space="0"/>
            </w:tcBorders>
            <w:noWrap w:val="0"/>
            <w:vAlign w:val="center"/>
          </w:tcPr>
          <w:p w14:paraId="434144E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393590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73" w:hRule="atLeast"/>
        </w:trPr>
        <w:tc>
          <w:tcPr>
            <w:tcW w:w="760" w:type="dxa"/>
            <w:vMerge w:val="continue"/>
            <w:tcBorders>
              <w:left w:val="single" w:color="auto" w:sz="4" w:space="0"/>
              <w:right w:val="single" w:color="auto" w:sz="4" w:space="0"/>
            </w:tcBorders>
            <w:noWrap w:val="0"/>
            <w:vAlign w:val="center"/>
          </w:tcPr>
          <w:p w14:paraId="6DCE0226">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1B8907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3AA3E9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人</w:t>
            </w:r>
            <w:r>
              <w:rPr>
                <w:rFonts w:hint="eastAsia" w:ascii="宋体" w:hAnsi="宋体"/>
                <w:color w:val="auto"/>
                <w:sz w:val="24"/>
                <w:szCs w:val="24"/>
                <w:highlight w:val="none"/>
              </w:rPr>
              <w:t>须提供信用中国及中国政府采购网查询页</w:t>
            </w:r>
          </w:p>
        </w:tc>
        <w:tc>
          <w:tcPr>
            <w:tcW w:w="4563" w:type="dxa"/>
            <w:tcBorders>
              <w:top w:val="single" w:color="auto" w:sz="4" w:space="0"/>
              <w:left w:val="nil"/>
              <w:right w:val="single" w:color="auto" w:sz="4" w:space="0"/>
            </w:tcBorders>
            <w:noWrap w:val="0"/>
            <w:vAlign w:val="center"/>
          </w:tcPr>
          <w:p w14:paraId="4D2CE98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714949D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1D55DE61">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7EE0021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2037C5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rPr>
              <w:t>本项目不接受联合体</w:t>
            </w:r>
            <w:r>
              <w:rPr>
                <w:rFonts w:hint="eastAsia" w:ascii="宋体" w:hAnsi="宋体"/>
                <w:color w:val="auto"/>
                <w:sz w:val="24"/>
                <w:szCs w:val="24"/>
                <w:highlight w:val="none"/>
                <w:lang w:val="en-US" w:eastAsia="zh-CN"/>
              </w:rPr>
              <w:t>磋商</w:t>
            </w:r>
          </w:p>
        </w:tc>
        <w:tc>
          <w:tcPr>
            <w:tcW w:w="4563" w:type="dxa"/>
            <w:tcBorders>
              <w:top w:val="single" w:color="auto" w:sz="4" w:space="0"/>
              <w:left w:val="nil"/>
              <w:right w:val="single" w:color="auto" w:sz="4" w:space="0"/>
            </w:tcBorders>
            <w:noWrap w:val="0"/>
            <w:vAlign w:val="center"/>
          </w:tcPr>
          <w:p w14:paraId="7F7B7AD1">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127563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94" w:hRule="atLeast"/>
        </w:trPr>
        <w:tc>
          <w:tcPr>
            <w:tcW w:w="760" w:type="dxa"/>
            <w:vMerge w:val="continue"/>
            <w:tcBorders>
              <w:left w:val="single" w:color="auto" w:sz="4" w:space="0"/>
              <w:right w:val="single" w:color="auto" w:sz="4" w:space="0"/>
            </w:tcBorders>
            <w:noWrap w:val="0"/>
            <w:vAlign w:val="center"/>
          </w:tcPr>
          <w:p w14:paraId="3B0D6308">
            <w:pPr>
              <w:spacing w:line="480" w:lineRule="exact"/>
              <w:jc w:val="center"/>
              <w:rPr>
                <w:rFonts w:hint="eastAsia" w:ascii="宋体" w:hAnsi="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13B28EA7">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p>
        </w:tc>
        <w:tc>
          <w:tcPr>
            <w:tcW w:w="3533" w:type="dxa"/>
            <w:tcBorders>
              <w:top w:val="single" w:color="auto" w:sz="4" w:space="0"/>
              <w:left w:val="nil"/>
              <w:bottom w:val="single" w:color="auto" w:sz="4" w:space="0"/>
              <w:right w:val="single" w:color="auto" w:sz="4" w:space="0"/>
            </w:tcBorders>
            <w:noWrap w:val="0"/>
            <w:vAlign w:val="center"/>
          </w:tcPr>
          <w:p w14:paraId="6FDE22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响应人</w:t>
            </w:r>
            <w:r>
              <w:rPr>
                <w:rFonts w:hint="eastAsia" w:ascii="宋体" w:hAnsi="宋体"/>
                <w:color w:val="auto"/>
                <w:sz w:val="24"/>
                <w:szCs w:val="24"/>
                <w:highlight w:val="none"/>
              </w:rPr>
              <w:t>需要提交的其他证明材料</w:t>
            </w:r>
          </w:p>
        </w:tc>
        <w:tc>
          <w:tcPr>
            <w:tcW w:w="4563" w:type="dxa"/>
            <w:tcBorders>
              <w:top w:val="single" w:color="auto" w:sz="4" w:space="0"/>
              <w:left w:val="nil"/>
              <w:right w:val="single" w:color="auto" w:sz="4" w:space="0"/>
            </w:tcBorders>
            <w:noWrap w:val="0"/>
            <w:vAlign w:val="center"/>
          </w:tcPr>
          <w:p w14:paraId="525658C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74AFADF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19" w:hRule="atLeast"/>
        </w:trPr>
        <w:tc>
          <w:tcPr>
            <w:tcW w:w="760" w:type="dxa"/>
            <w:vMerge w:val="restart"/>
            <w:tcBorders>
              <w:top w:val="single" w:color="auto" w:sz="4" w:space="0"/>
              <w:left w:val="single" w:color="auto" w:sz="4" w:space="0"/>
              <w:right w:val="single" w:color="auto" w:sz="4" w:space="0"/>
            </w:tcBorders>
            <w:noWrap w:val="0"/>
            <w:vAlign w:val="center"/>
          </w:tcPr>
          <w:p w14:paraId="5ECE95E8">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2.1.3</w:t>
            </w:r>
          </w:p>
          <w:p w14:paraId="6B149AAD">
            <w:pPr>
              <w:jc w:val="center"/>
              <w:rPr>
                <w:rFonts w:hint="eastAsia" w:ascii="宋体" w:hAnsi="宋体" w:cs="宋体"/>
                <w:color w:val="auto"/>
                <w:sz w:val="24"/>
                <w:szCs w:val="24"/>
                <w:highlight w:val="none"/>
              </w:rPr>
            </w:pPr>
          </w:p>
          <w:p w14:paraId="3D4D5F58">
            <w:pPr>
              <w:pStyle w:val="2"/>
              <w:rPr>
                <w:rFonts w:hint="eastAsia"/>
                <w:highlight w:val="none"/>
              </w:rPr>
            </w:pPr>
          </w:p>
        </w:tc>
        <w:tc>
          <w:tcPr>
            <w:tcW w:w="793" w:type="dxa"/>
            <w:vMerge w:val="restart"/>
            <w:tcBorders>
              <w:top w:val="single" w:color="auto" w:sz="4" w:space="0"/>
              <w:left w:val="single" w:color="auto" w:sz="4" w:space="0"/>
              <w:right w:val="single" w:color="auto" w:sz="4" w:space="0"/>
            </w:tcBorders>
            <w:noWrap w:val="0"/>
            <w:vAlign w:val="center"/>
          </w:tcPr>
          <w:p w14:paraId="4AB3CEAB">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w:t>
            </w:r>
          </w:p>
          <w:p w14:paraId="70FA8AD5">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应</w:t>
            </w:r>
          </w:p>
          <w:p w14:paraId="5748FF08">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性</w:t>
            </w:r>
          </w:p>
          <w:p w14:paraId="1E9AE266">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评</w:t>
            </w:r>
          </w:p>
          <w:p w14:paraId="6956BA96">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cs="宋体"/>
                <w:color w:val="auto"/>
                <w:sz w:val="24"/>
                <w:szCs w:val="24"/>
                <w:highlight w:val="none"/>
              </w:rPr>
            </w:pPr>
            <w:r>
              <w:rPr>
                <w:rFonts w:hint="eastAsia" w:ascii="宋体" w:hAnsi="宋体" w:cs="宋体"/>
                <w:color w:val="auto"/>
                <w:sz w:val="24"/>
                <w:szCs w:val="24"/>
                <w:highlight w:val="none"/>
              </w:rPr>
              <w:t>审</w:t>
            </w: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E7D24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rPr>
              <w:t>磋商</w:t>
            </w:r>
            <w:r>
              <w:rPr>
                <w:rFonts w:hint="eastAsia" w:ascii="宋体" w:hAnsi="宋体"/>
                <w:color w:val="auto"/>
                <w:sz w:val="24"/>
                <w:szCs w:val="24"/>
                <w:highlight w:val="none"/>
                <w:lang w:val="en-US" w:eastAsia="zh-CN"/>
              </w:rPr>
              <w:t>范围</w:t>
            </w:r>
          </w:p>
        </w:tc>
        <w:tc>
          <w:tcPr>
            <w:tcW w:w="4563" w:type="dxa"/>
            <w:tcBorders>
              <w:top w:val="single" w:color="auto" w:sz="4" w:space="0"/>
              <w:left w:val="single" w:color="auto" w:sz="4" w:space="0"/>
              <w:bottom w:val="single" w:color="auto" w:sz="4" w:space="0"/>
              <w:right w:val="single" w:color="auto" w:sz="4" w:space="0"/>
            </w:tcBorders>
            <w:noWrap w:val="0"/>
            <w:vAlign w:val="center"/>
          </w:tcPr>
          <w:p w14:paraId="2015807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4123DF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98" w:hRule="atLeast"/>
        </w:trPr>
        <w:tc>
          <w:tcPr>
            <w:tcW w:w="760" w:type="dxa"/>
            <w:vMerge w:val="continue"/>
            <w:tcBorders>
              <w:left w:val="single" w:color="auto" w:sz="4" w:space="0"/>
              <w:right w:val="single" w:color="auto" w:sz="4" w:space="0"/>
            </w:tcBorders>
            <w:noWrap w:val="0"/>
            <w:vAlign w:val="center"/>
          </w:tcPr>
          <w:p w14:paraId="45FCF282">
            <w:pPr>
              <w:jc w:val="center"/>
              <w:rPr>
                <w:rFonts w:hint="eastAsia" w:ascii="宋体" w:hAnsi="宋体" w:cs="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732FE66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szCs w:val="24"/>
                <w:highlight w:val="none"/>
              </w:rPr>
            </w:pPr>
          </w:p>
        </w:tc>
        <w:tc>
          <w:tcPr>
            <w:tcW w:w="3533" w:type="dxa"/>
            <w:tcBorders>
              <w:top w:val="single" w:color="auto" w:sz="4" w:space="0"/>
              <w:left w:val="single" w:color="auto" w:sz="4" w:space="0"/>
              <w:bottom w:val="single" w:color="auto" w:sz="4" w:space="0"/>
              <w:right w:val="single" w:color="auto" w:sz="4" w:space="0"/>
            </w:tcBorders>
            <w:noWrap w:val="0"/>
            <w:vAlign w:val="center"/>
          </w:tcPr>
          <w:p w14:paraId="7F2A752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lang w:eastAsia="zh-CN"/>
              </w:rPr>
              <w:t>周期</w:t>
            </w:r>
          </w:p>
        </w:tc>
        <w:tc>
          <w:tcPr>
            <w:tcW w:w="4563" w:type="dxa"/>
            <w:tcBorders>
              <w:top w:val="single" w:color="auto" w:sz="4" w:space="0"/>
              <w:left w:val="single" w:color="auto" w:sz="4" w:space="0"/>
              <w:bottom w:val="single" w:color="auto" w:sz="4" w:space="0"/>
              <w:right w:val="single" w:color="auto" w:sz="4" w:space="0"/>
            </w:tcBorders>
            <w:noWrap w:val="0"/>
            <w:vAlign w:val="center"/>
          </w:tcPr>
          <w:p w14:paraId="56789AB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52F1CFC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trPr>
        <w:tc>
          <w:tcPr>
            <w:tcW w:w="760" w:type="dxa"/>
            <w:vMerge w:val="continue"/>
            <w:tcBorders>
              <w:left w:val="single" w:color="auto" w:sz="4" w:space="0"/>
              <w:right w:val="single" w:color="auto" w:sz="4" w:space="0"/>
            </w:tcBorders>
            <w:noWrap w:val="0"/>
            <w:vAlign w:val="center"/>
          </w:tcPr>
          <w:p w14:paraId="71519BD5">
            <w:pPr>
              <w:jc w:val="center"/>
              <w:rPr>
                <w:rFonts w:hint="eastAsia" w:ascii="宋体" w:hAnsi="宋体" w:cs="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147814F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szCs w:val="24"/>
                <w:highlight w:val="none"/>
              </w:rPr>
            </w:pPr>
          </w:p>
        </w:tc>
        <w:tc>
          <w:tcPr>
            <w:tcW w:w="3533" w:type="dxa"/>
            <w:tcBorders>
              <w:top w:val="single" w:color="auto" w:sz="4" w:space="0"/>
              <w:left w:val="single" w:color="auto" w:sz="4" w:space="0"/>
              <w:bottom w:val="single" w:color="auto" w:sz="4" w:space="0"/>
              <w:right w:val="single" w:color="auto" w:sz="4" w:space="0"/>
            </w:tcBorders>
            <w:noWrap w:val="0"/>
            <w:vAlign w:val="center"/>
          </w:tcPr>
          <w:p w14:paraId="3EED8B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服务</w:t>
            </w:r>
            <w:r>
              <w:rPr>
                <w:rFonts w:hint="eastAsia" w:ascii="宋体" w:hAnsi="宋体"/>
                <w:color w:val="auto"/>
                <w:sz w:val="24"/>
                <w:szCs w:val="24"/>
                <w:highlight w:val="none"/>
              </w:rPr>
              <w:t>要求</w:t>
            </w:r>
          </w:p>
        </w:tc>
        <w:tc>
          <w:tcPr>
            <w:tcW w:w="4563" w:type="dxa"/>
            <w:tcBorders>
              <w:top w:val="single" w:color="auto" w:sz="4" w:space="0"/>
              <w:left w:val="single" w:color="auto" w:sz="4" w:space="0"/>
              <w:bottom w:val="single" w:color="auto" w:sz="4" w:space="0"/>
              <w:right w:val="single" w:color="auto" w:sz="4" w:space="0"/>
            </w:tcBorders>
            <w:noWrap w:val="0"/>
            <w:vAlign w:val="center"/>
          </w:tcPr>
          <w:p w14:paraId="338DBCB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符合</w:t>
            </w:r>
            <w:r>
              <w:rPr>
                <w:rFonts w:hint="eastAsia" w:ascii="宋体" w:hAnsi="宋体"/>
                <w:color w:val="auto"/>
                <w:sz w:val="24"/>
                <w:szCs w:val="24"/>
                <w:highlight w:val="none"/>
              </w:rPr>
              <w:t>“第一章 竞争性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公告”</w:t>
            </w:r>
            <w:r>
              <w:rPr>
                <w:rFonts w:hint="eastAsia" w:ascii="宋体" w:hAnsi="宋体"/>
                <w:color w:val="auto"/>
                <w:sz w:val="24"/>
                <w:szCs w:val="24"/>
                <w:highlight w:val="none"/>
                <w:lang w:val="en-US" w:eastAsia="zh-CN"/>
              </w:rPr>
              <w:t>要求</w:t>
            </w:r>
          </w:p>
        </w:tc>
      </w:tr>
      <w:tr w14:paraId="59B8F39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56" w:hRule="atLeast"/>
        </w:trPr>
        <w:tc>
          <w:tcPr>
            <w:tcW w:w="760" w:type="dxa"/>
            <w:vMerge w:val="continue"/>
            <w:tcBorders>
              <w:left w:val="single" w:color="auto" w:sz="4" w:space="0"/>
              <w:right w:val="single" w:color="auto" w:sz="4" w:space="0"/>
            </w:tcBorders>
            <w:noWrap w:val="0"/>
            <w:vAlign w:val="center"/>
          </w:tcPr>
          <w:p w14:paraId="0EC4A630">
            <w:pPr>
              <w:jc w:val="center"/>
              <w:rPr>
                <w:rFonts w:hint="eastAsia" w:ascii="宋体" w:hAnsi="宋体" w:cs="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6C72669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szCs w:val="24"/>
                <w:highlight w:val="none"/>
              </w:rPr>
            </w:pPr>
          </w:p>
        </w:tc>
        <w:tc>
          <w:tcPr>
            <w:tcW w:w="3533" w:type="dxa"/>
            <w:tcBorders>
              <w:top w:val="single" w:color="auto" w:sz="4" w:space="0"/>
              <w:left w:val="single" w:color="auto" w:sz="4" w:space="0"/>
              <w:bottom w:val="single" w:color="auto" w:sz="4" w:space="0"/>
              <w:right w:val="single" w:color="auto" w:sz="4" w:space="0"/>
            </w:tcBorders>
            <w:noWrap w:val="0"/>
            <w:vAlign w:val="center"/>
          </w:tcPr>
          <w:p w14:paraId="4C032C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磋商有效期</w:t>
            </w:r>
          </w:p>
        </w:tc>
        <w:tc>
          <w:tcPr>
            <w:tcW w:w="4563" w:type="dxa"/>
            <w:tcBorders>
              <w:top w:val="single" w:color="auto" w:sz="4" w:space="0"/>
              <w:left w:val="single" w:color="auto" w:sz="4" w:space="0"/>
              <w:bottom w:val="single" w:color="auto" w:sz="4" w:space="0"/>
              <w:right w:val="single" w:color="auto" w:sz="4" w:space="0"/>
            </w:tcBorders>
            <w:noWrap w:val="0"/>
            <w:vAlign w:val="center"/>
          </w:tcPr>
          <w:p w14:paraId="6C86DBEF">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磋商截止之日起60日历天</w:t>
            </w:r>
          </w:p>
        </w:tc>
      </w:tr>
      <w:tr w14:paraId="42046CC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67" w:hRule="atLeast"/>
        </w:trPr>
        <w:tc>
          <w:tcPr>
            <w:tcW w:w="760" w:type="dxa"/>
            <w:vMerge w:val="continue"/>
            <w:tcBorders>
              <w:left w:val="single" w:color="auto" w:sz="4" w:space="0"/>
              <w:right w:val="single" w:color="auto" w:sz="4" w:space="0"/>
            </w:tcBorders>
            <w:noWrap w:val="0"/>
            <w:vAlign w:val="center"/>
          </w:tcPr>
          <w:p w14:paraId="3CB17F8B">
            <w:pPr>
              <w:jc w:val="center"/>
              <w:rPr>
                <w:rFonts w:hint="eastAsia" w:ascii="宋体" w:hAnsi="宋体" w:cs="宋体"/>
                <w:color w:val="auto"/>
                <w:sz w:val="24"/>
                <w:szCs w:val="24"/>
                <w:highlight w:val="none"/>
              </w:rPr>
            </w:pPr>
          </w:p>
        </w:tc>
        <w:tc>
          <w:tcPr>
            <w:tcW w:w="793" w:type="dxa"/>
            <w:vMerge w:val="continue"/>
            <w:tcBorders>
              <w:left w:val="single" w:color="auto" w:sz="4" w:space="0"/>
              <w:right w:val="single" w:color="auto" w:sz="4" w:space="0"/>
            </w:tcBorders>
            <w:noWrap w:val="0"/>
            <w:vAlign w:val="center"/>
          </w:tcPr>
          <w:p w14:paraId="3B58698F">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宋体" w:hAnsi="宋体" w:cs="宋体"/>
                <w:color w:val="auto"/>
                <w:sz w:val="24"/>
                <w:szCs w:val="24"/>
                <w:highlight w:val="none"/>
              </w:rPr>
            </w:pPr>
          </w:p>
        </w:tc>
        <w:tc>
          <w:tcPr>
            <w:tcW w:w="3533" w:type="dxa"/>
            <w:tcBorders>
              <w:top w:val="single" w:color="auto" w:sz="4" w:space="0"/>
              <w:left w:val="single" w:color="auto" w:sz="4" w:space="0"/>
              <w:right w:val="single" w:color="auto" w:sz="4" w:space="0"/>
            </w:tcBorders>
            <w:noWrap w:val="0"/>
            <w:vAlign w:val="center"/>
          </w:tcPr>
          <w:p w14:paraId="2C064B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磋商总报价</w:t>
            </w:r>
          </w:p>
        </w:tc>
        <w:tc>
          <w:tcPr>
            <w:tcW w:w="4563" w:type="dxa"/>
            <w:tcBorders>
              <w:top w:val="single" w:color="auto" w:sz="4" w:space="0"/>
              <w:left w:val="single" w:color="auto" w:sz="4" w:space="0"/>
              <w:bottom w:val="single" w:color="auto" w:sz="4" w:space="0"/>
              <w:right w:val="single" w:color="auto" w:sz="4" w:space="0"/>
            </w:tcBorders>
            <w:noWrap w:val="0"/>
            <w:vAlign w:val="center"/>
          </w:tcPr>
          <w:p w14:paraId="120FEB55">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响应人磋商总报价不得高于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公布的招标控制价，否则其</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将予否决。</w:t>
            </w:r>
          </w:p>
        </w:tc>
      </w:tr>
    </w:tbl>
    <w:p w14:paraId="5BF9E8A6">
      <w:pPr>
        <w:rPr>
          <w:rFonts w:hint="eastAsia"/>
          <w:b/>
          <w:bCs/>
          <w:color w:val="auto"/>
          <w:sz w:val="30"/>
          <w:szCs w:val="30"/>
          <w:highlight w:val="none"/>
        </w:rPr>
      </w:pPr>
      <w:bookmarkStart w:id="203" w:name="_Toc4307"/>
      <w:bookmarkStart w:id="204" w:name="_Toc8327"/>
      <w:bookmarkStart w:id="205" w:name="_Toc10553"/>
      <w:r>
        <w:rPr>
          <w:rFonts w:hint="eastAsia"/>
          <w:b/>
          <w:bCs/>
          <w:color w:val="auto"/>
          <w:sz w:val="30"/>
          <w:szCs w:val="30"/>
          <w:highlight w:val="none"/>
        </w:rPr>
        <w:br w:type="page"/>
      </w:r>
    </w:p>
    <w:p w14:paraId="30C8D927">
      <w:pPr>
        <w:spacing w:line="520" w:lineRule="exact"/>
        <w:jc w:val="center"/>
        <w:outlineLvl w:val="1"/>
        <w:rPr>
          <w:rFonts w:hint="eastAsia"/>
          <w:b/>
          <w:bCs/>
          <w:color w:val="auto"/>
          <w:sz w:val="30"/>
          <w:szCs w:val="30"/>
          <w:highlight w:val="none"/>
        </w:rPr>
      </w:pPr>
      <w:bookmarkStart w:id="206" w:name="_Toc17922"/>
      <w:r>
        <w:rPr>
          <w:rFonts w:hint="eastAsia"/>
          <w:b/>
          <w:bCs/>
          <w:color w:val="auto"/>
          <w:sz w:val="30"/>
          <w:szCs w:val="30"/>
          <w:highlight w:val="none"/>
        </w:rPr>
        <w:t>详细评审表</w:t>
      </w:r>
      <w:bookmarkEnd w:id="203"/>
      <w:bookmarkEnd w:id="204"/>
      <w:bookmarkEnd w:id="205"/>
      <w:bookmarkEnd w:id="206"/>
      <w:bookmarkStart w:id="207" w:name="_Toc90712538"/>
      <w:bookmarkStart w:id="208" w:name="_Toc90713357"/>
      <w:bookmarkStart w:id="209" w:name="_Toc109550798"/>
      <w:bookmarkStart w:id="210" w:name="_Toc109537522"/>
      <w:bookmarkStart w:id="211" w:name="_Toc269470330"/>
    </w:p>
    <w:tbl>
      <w:tblPr>
        <w:tblStyle w:val="19"/>
        <w:tblpPr w:leftFromText="180" w:rightFromText="180" w:vertAnchor="text" w:horzAnchor="page" w:tblpX="1209" w:tblpY="287"/>
        <w:tblOverlap w:val="never"/>
        <w:tblW w:w="9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203"/>
        <w:gridCol w:w="1204"/>
        <w:gridCol w:w="897"/>
        <w:gridCol w:w="6285"/>
      </w:tblGrid>
      <w:tr w14:paraId="072F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 w:hRule="atLeast"/>
        </w:trPr>
        <w:tc>
          <w:tcPr>
            <w:tcW w:w="1203" w:type="dxa"/>
            <w:tcBorders>
              <w:top w:val="single" w:color="auto" w:sz="4" w:space="0"/>
              <w:left w:val="single" w:color="auto" w:sz="4" w:space="0"/>
              <w:bottom w:val="single" w:color="auto" w:sz="4" w:space="0"/>
              <w:right w:val="single" w:color="auto" w:sz="4" w:space="0"/>
            </w:tcBorders>
            <w:noWrap w:val="0"/>
            <w:vAlign w:val="center"/>
          </w:tcPr>
          <w:p w14:paraId="0D2691B8">
            <w:pPr>
              <w:spacing w:line="520" w:lineRule="exact"/>
              <w:jc w:val="center"/>
              <w:outlineLvl w:val="1"/>
              <w:rPr>
                <w:rFonts w:ascii="宋体" w:hAnsi="宋体" w:cs="Arial"/>
                <w:b/>
                <w:color w:val="auto"/>
                <w:kern w:val="0"/>
                <w:sz w:val="24"/>
                <w:szCs w:val="24"/>
                <w:highlight w:val="none"/>
              </w:rPr>
            </w:pPr>
            <w:r>
              <w:rPr>
                <w:rFonts w:hint="eastAsia"/>
                <w:b/>
                <w:bCs/>
                <w:color w:val="auto"/>
                <w:sz w:val="30"/>
                <w:szCs w:val="30"/>
                <w:highlight w:val="none"/>
              </w:rPr>
              <w:br w:type="page"/>
            </w:r>
            <w:r>
              <w:rPr>
                <w:rFonts w:hint="eastAsia"/>
                <w:b/>
                <w:bCs/>
                <w:color w:val="auto"/>
                <w:sz w:val="30"/>
                <w:szCs w:val="30"/>
                <w:highlight w:val="none"/>
              </w:rPr>
              <w:br w:type="page"/>
            </w:r>
            <w:bookmarkEnd w:id="207"/>
            <w:bookmarkEnd w:id="208"/>
            <w:bookmarkEnd w:id="209"/>
            <w:bookmarkEnd w:id="210"/>
            <w:bookmarkEnd w:id="211"/>
            <w:bookmarkStart w:id="212" w:name="_Toc2117"/>
            <w:bookmarkStart w:id="213" w:name="_Toc28175"/>
            <w:r>
              <w:rPr>
                <w:rFonts w:hint="eastAsia" w:ascii="宋体" w:hAnsi="宋体" w:cs="Arial"/>
                <w:b/>
                <w:color w:val="auto"/>
                <w:kern w:val="0"/>
                <w:sz w:val="24"/>
                <w:szCs w:val="24"/>
                <w:highlight w:val="none"/>
              </w:rPr>
              <w:t>评分项目</w:t>
            </w:r>
            <w:bookmarkEnd w:id="212"/>
            <w:bookmarkEnd w:id="213"/>
          </w:p>
        </w:tc>
        <w:tc>
          <w:tcPr>
            <w:tcW w:w="1204" w:type="dxa"/>
            <w:tcBorders>
              <w:top w:val="single" w:color="auto" w:sz="4" w:space="0"/>
              <w:left w:val="single" w:color="auto" w:sz="4" w:space="0"/>
              <w:bottom w:val="single" w:color="auto" w:sz="4" w:space="0"/>
              <w:right w:val="single" w:color="auto" w:sz="4" w:space="0"/>
            </w:tcBorders>
            <w:noWrap w:val="0"/>
            <w:vAlign w:val="center"/>
          </w:tcPr>
          <w:p w14:paraId="2B8724DA">
            <w:pPr>
              <w:widowControl/>
              <w:adjustRightInd w:val="0"/>
              <w:snapToGrid w:val="0"/>
              <w:spacing w:line="440" w:lineRule="exact"/>
              <w:jc w:val="center"/>
              <w:rPr>
                <w:rFonts w:ascii="宋体" w:hAnsi="宋体" w:cs="Arial"/>
                <w:b/>
                <w:color w:val="auto"/>
                <w:kern w:val="0"/>
                <w:sz w:val="24"/>
                <w:szCs w:val="24"/>
                <w:highlight w:val="none"/>
              </w:rPr>
            </w:pPr>
            <w:r>
              <w:rPr>
                <w:rFonts w:hint="eastAsia" w:ascii="宋体" w:hAnsi="宋体"/>
                <w:b/>
                <w:color w:val="auto"/>
                <w:sz w:val="24"/>
                <w:szCs w:val="24"/>
                <w:highlight w:val="none"/>
              </w:rPr>
              <w:t>分项</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B15405F">
            <w:pPr>
              <w:adjustRightInd w:val="0"/>
              <w:snapToGrid w:val="0"/>
              <w:spacing w:line="440" w:lineRule="exact"/>
              <w:jc w:val="center"/>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满分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0173B7F1">
            <w:pPr>
              <w:widowControl/>
              <w:adjustRightInd w:val="0"/>
              <w:snapToGrid w:val="0"/>
              <w:spacing w:line="440" w:lineRule="exact"/>
              <w:jc w:val="center"/>
              <w:rPr>
                <w:rFonts w:ascii="宋体" w:hAnsi="宋体" w:cs="Arial"/>
                <w:b/>
                <w:color w:val="auto"/>
                <w:kern w:val="0"/>
                <w:sz w:val="24"/>
                <w:szCs w:val="24"/>
                <w:highlight w:val="none"/>
              </w:rPr>
            </w:pPr>
            <w:r>
              <w:rPr>
                <w:rFonts w:hint="eastAsia" w:ascii="宋体" w:hAnsi="宋体" w:cs="Arial"/>
                <w:b/>
                <w:color w:val="auto"/>
                <w:kern w:val="0"/>
                <w:sz w:val="24"/>
                <w:szCs w:val="24"/>
                <w:highlight w:val="none"/>
              </w:rPr>
              <w:t>评分标准</w:t>
            </w:r>
          </w:p>
        </w:tc>
      </w:tr>
      <w:tr w14:paraId="0026F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 w:hRule="atLeast"/>
        </w:trPr>
        <w:tc>
          <w:tcPr>
            <w:tcW w:w="1203" w:type="dxa"/>
            <w:tcBorders>
              <w:top w:val="single" w:color="auto" w:sz="4" w:space="0"/>
              <w:left w:val="single" w:color="auto" w:sz="4" w:space="0"/>
              <w:right w:val="single" w:color="auto" w:sz="4" w:space="0"/>
            </w:tcBorders>
            <w:noWrap w:val="0"/>
            <w:vAlign w:val="center"/>
          </w:tcPr>
          <w:p w14:paraId="72909465">
            <w:pPr>
              <w:jc w:val="center"/>
              <w:rPr>
                <w:rFonts w:ascii="宋体" w:hAnsi="宋体" w:cs="Arial"/>
                <w:b/>
                <w:color w:val="auto"/>
                <w:sz w:val="24"/>
                <w:szCs w:val="24"/>
                <w:highlight w:val="none"/>
              </w:rPr>
            </w:pPr>
            <w:r>
              <w:rPr>
                <w:rFonts w:hint="eastAsia" w:ascii="宋体" w:hAnsi="宋体"/>
                <w:color w:val="auto"/>
                <w:sz w:val="24"/>
                <w:szCs w:val="24"/>
                <w:highlight w:val="none"/>
                <w:lang w:eastAsia="zh-CN"/>
              </w:rPr>
              <w:t>磋商报价（</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0分</w:t>
            </w:r>
            <w:r>
              <w:rPr>
                <w:rFonts w:ascii="宋体" w:hAnsi="宋体"/>
                <w:color w:val="auto"/>
                <w:sz w:val="24"/>
                <w:szCs w:val="24"/>
                <w:highlight w:val="none"/>
              </w:rPr>
              <w:t>）</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2D01C0E8">
            <w:pPr>
              <w:adjustRightInd w:val="0"/>
              <w:snapToGrid w:val="0"/>
              <w:spacing w:line="420" w:lineRule="exact"/>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磋商报价</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E2D544D">
            <w:pPr>
              <w:adjustRightInd w:val="0"/>
              <w:snapToGrid w:val="0"/>
              <w:spacing w:before="40" w:after="40"/>
              <w:jc w:val="center"/>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20</w:t>
            </w:r>
            <w:r>
              <w:rPr>
                <w:rFonts w:ascii="宋体" w:hAnsi="宋体" w:cs="Arial"/>
                <w:color w:val="auto"/>
                <w:sz w:val="24"/>
                <w:szCs w:val="24"/>
                <w:highlight w:val="none"/>
              </w:rPr>
              <w:t>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5EDDF627">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1、价格分采用低价优先法计算，即满足</w:t>
            </w:r>
            <w:r>
              <w:rPr>
                <w:rFonts w:hint="eastAsia" w:ascii="宋体" w:hAnsi="宋体" w:cs="宋体"/>
                <w:kern w:val="2"/>
                <w:sz w:val="24"/>
                <w:szCs w:val="24"/>
                <w:highlight w:val="none"/>
                <w:lang w:val="en-US" w:eastAsia="zh-CN"/>
              </w:rPr>
              <w:t>磋商</w:t>
            </w:r>
            <w:r>
              <w:rPr>
                <w:rFonts w:hint="eastAsia" w:ascii="宋体" w:hAnsi="宋体" w:eastAsia="宋体" w:cs="宋体"/>
                <w:kern w:val="2"/>
                <w:sz w:val="24"/>
                <w:szCs w:val="24"/>
                <w:highlight w:val="none"/>
                <w:lang w:val="en-US" w:eastAsia="zh-CN"/>
              </w:rPr>
              <w:t>文件通过资格性和形式性审查且</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价格最低的</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报价为评标基准价，其价格得分为满分</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0分。</w:t>
            </w:r>
          </w:p>
          <w:p w14:paraId="612E4263">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2、其他响应人的价格分统一按照下列公式计算：</w:t>
            </w:r>
          </w:p>
          <w:p w14:paraId="211FFCB5">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报价得分=</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评标基准价／</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报价</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0</w:t>
            </w:r>
          </w:p>
          <w:p w14:paraId="7C3B744A">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3、价格扣除：1.响应人为中小微企业的</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监狱企业/残疾人福利性企业视同小型、微型企业），对所</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的小型和微型企业制造的产品的价格给予</w:t>
            </w:r>
            <w:r>
              <w:rPr>
                <w:rFonts w:hint="eastAsia" w:ascii="宋体" w:hAnsi="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CN"/>
              </w:rPr>
              <w:t>0%的扣除，用扣除后的价格参与评审。参加</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的中小微企业，应当按照《政府采购促进中小企业发展管理办法》</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财库〔2020〕46号）的规定提供《中小企业声明函》</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中小企业划型标准详见《关于印发中小企业划型标准规定的通知》工信部联企业〔2011〕300号）。响应人为大型企业的不适用本款规定。</w:t>
            </w:r>
          </w:p>
          <w:p w14:paraId="1FC7A23F">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4、根据财政部司法部《关于政府采购支持监狱企业发展有关问题的通知》</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财库〔2014〕68号）规定及《关于进一步加大政府采购支持中小企业发展有关事项的通知》</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灵财[2022]97号）通知，本项目对监狱企业作为响应人所提供的本企业生产的产品的价格给予20%的扣除。监狱企业，应当提供由省级以上监狱管理局、戒毒管理局</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含新疆生产建设兵团）出具的属于监狱企业的证明文件。</w:t>
            </w:r>
          </w:p>
          <w:p w14:paraId="2ED52B95">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5、参加政府采购活动的残疾人福利性单位应当提供《残疾人福利性单位声明函》，未填写残疾人福利性单位声明函的在开标过程中不予认可。</w:t>
            </w:r>
          </w:p>
          <w:p w14:paraId="3FA569D8">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6、同一响应人，中小微企业产品和监狱企业产品价格扣除优惠只享受一次，不得重复享受</w:t>
            </w:r>
          </w:p>
          <w:p w14:paraId="4DDA353C">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例：所投中小微企业产品报价=所投中小微企业产品报价合计×</w:t>
            </w:r>
            <w:r>
              <w:rPr>
                <w:rFonts w:hint="eastAsia" w:ascii="宋体" w:hAnsi="宋体" w:cs="宋体"/>
                <w:kern w:val="2"/>
                <w:sz w:val="24"/>
                <w:szCs w:val="24"/>
                <w:highlight w:val="none"/>
                <w:lang w:val="en-US" w:eastAsia="zh-CN"/>
              </w:rPr>
              <w:t>（</w:t>
            </w:r>
            <w:r>
              <w:rPr>
                <w:rFonts w:hint="eastAsia" w:ascii="宋体" w:hAnsi="宋体" w:eastAsia="宋体" w:cs="宋体"/>
                <w:kern w:val="2"/>
                <w:sz w:val="24"/>
                <w:szCs w:val="24"/>
                <w:highlight w:val="none"/>
                <w:lang w:val="en-US" w:eastAsia="zh-CN"/>
              </w:rPr>
              <w:t>1-20%）</w:t>
            </w:r>
          </w:p>
          <w:p w14:paraId="52013E9B">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注：1.价格分计算保留小数点后二位。在评标过程中，磋商小组发现响应人的报价明显低于成本价时或明显低于其他通过初步审查响应人的报价，有可能影响产品质量或者不能诚信履约的，磋商小组可向该响应人提出询问，要求该响应人作出书面说明并提供相关证明材料。响应人不能合理说明及不能提供相关证明材料的，磋商小组认定该响应人以低于成本价恶意竞标，其</w:t>
            </w:r>
            <w:r>
              <w:rPr>
                <w:rFonts w:hint="eastAsia" w:ascii="宋体" w:hAnsi="宋体" w:cs="宋体"/>
                <w:kern w:val="2"/>
                <w:sz w:val="24"/>
                <w:szCs w:val="24"/>
                <w:highlight w:val="none"/>
                <w:lang w:val="en-US" w:eastAsia="zh-CN"/>
              </w:rPr>
              <w:t>响应</w:t>
            </w:r>
            <w:r>
              <w:rPr>
                <w:rFonts w:hint="eastAsia" w:ascii="宋体" w:hAnsi="宋体" w:eastAsia="宋体" w:cs="宋体"/>
                <w:kern w:val="2"/>
                <w:sz w:val="24"/>
                <w:szCs w:val="24"/>
                <w:highlight w:val="none"/>
                <w:lang w:val="en-US" w:eastAsia="zh-CN"/>
              </w:rPr>
              <w:t>作废标处理。</w:t>
            </w:r>
          </w:p>
          <w:p w14:paraId="32E6A353">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2.评标基准值计算方法</w:t>
            </w:r>
          </w:p>
          <w:p w14:paraId="6702DB8A">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2.1、低于</w:t>
            </w:r>
            <w:r>
              <w:rPr>
                <w:rFonts w:hint="eastAsia" w:ascii="宋体" w:hAnsi="宋体" w:cs="宋体"/>
                <w:kern w:val="2"/>
                <w:sz w:val="24"/>
                <w:szCs w:val="24"/>
                <w:highlight w:val="none"/>
                <w:lang w:val="en-US" w:eastAsia="zh-CN"/>
              </w:rPr>
              <w:t>招标控制价</w:t>
            </w:r>
            <w:r>
              <w:rPr>
                <w:rFonts w:hint="eastAsia" w:ascii="宋体" w:hAnsi="宋体" w:eastAsia="宋体" w:cs="宋体"/>
                <w:kern w:val="2"/>
                <w:sz w:val="24"/>
                <w:szCs w:val="24"/>
                <w:highlight w:val="none"/>
                <w:lang w:val="en-US" w:eastAsia="zh-CN"/>
              </w:rPr>
              <w:t>且通过初步评审的有效响应人报价为有效报价。</w:t>
            </w:r>
          </w:p>
          <w:p w14:paraId="7C8167D2">
            <w:pPr>
              <w:keepNext w:val="0"/>
              <w:keepLines w:val="0"/>
              <w:pageBreakBefore w:val="0"/>
              <w:widowControl w:val="0"/>
              <w:kinsoku/>
              <w:wordWrap/>
              <w:overflowPunct/>
              <w:topLinePunct w:val="0"/>
              <w:autoSpaceDE/>
              <w:autoSpaceDN/>
              <w:bidi w:val="0"/>
              <w:adjustRightInd w:val="0"/>
              <w:snapToGrid/>
              <w:spacing w:line="460" w:lineRule="exact"/>
              <w:ind w:left="2" w:leftChars="0" w:hanging="2" w:hangingChars="1"/>
              <w:jc w:val="both"/>
              <w:textAlignment w:val="auto"/>
              <w:rPr>
                <w:rFonts w:hint="default"/>
                <w:highlight w:val="none"/>
                <w:lang w:val="en-US"/>
              </w:rPr>
            </w:pPr>
            <w:r>
              <w:rPr>
                <w:rFonts w:hint="eastAsia" w:ascii="宋体" w:hAnsi="宋体" w:eastAsia="宋体" w:cs="宋体"/>
                <w:kern w:val="2"/>
                <w:sz w:val="24"/>
                <w:szCs w:val="24"/>
                <w:highlight w:val="none"/>
                <w:lang w:val="en-US" w:eastAsia="zh-CN"/>
              </w:rPr>
              <w:t>2.2、评标基准价=满足磋商文件要求的最低有效报价为基准价</w:t>
            </w:r>
          </w:p>
        </w:tc>
      </w:tr>
      <w:tr w14:paraId="5389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trPr>
        <w:tc>
          <w:tcPr>
            <w:tcW w:w="1203" w:type="dxa"/>
            <w:vMerge w:val="restart"/>
            <w:tcBorders>
              <w:left w:val="single" w:color="auto" w:sz="4" w:space="0"/>
              <w:right w:val="single" w:color="auto" w:sz="4" w:space="0"/>
            </w:tcBorders>
            <w:noWrap w:val="0"/>
            <w:vAlign w:val="center"/>
          </w:tcPr>
          <w:p w14:paraId="31F59FA7">
            <w:pPr>
              <w:adjustRightInd w:val="0"/>
              <w:snapToGrid w:val="0"/>
              <w:spacing w:before="40" w:after="40"/>
              <w:jc w:val="center"/>
              <w:rPr>
                <w:rFonts w:hint="eastAsia" w:ascii="宋体" w:hAnsi="宋体"/>
                <w:color w:val="auto"/>
                <w:sz w:val="24"/>
                <w:szCs w:val="24"/>
                <w:highlight w:val="none"/>
              </w:rPr>
            </w:pPr>
          </w:p>
          <w:p w14:paraId="7CBDE54A">
            <w:pPr>
              <w:adjustRightInd w:val="0"/>
              <w:snapToGrid w:val="0"/>
              <w:spacing w:before="40" w:after="40"/>
              <w:jc w:val="left"/>
              <w:rPr>
                <w:rFonts w:ascii="宋体" w:hAnsi="宋体" w:cs="Arial"/>
                <w:b/>
                <w:color w:val="auto"/>
                <w:sz w:val="24"/>
                <w:szCs w:val="24"/>
                <w:highlight w:val="none"/>
              </w:rPr>
            </w:pPr>
            <w:r>
              <w:rPr>
                <w:rFonts w:hint="eastAsia" w:ascii="宋体" w:hAnsi="宋体"/>
                <w:color w:val="auto"/>
                <w:sz w:val="24"/>
                <w:szCs w:val="24"/>
                <w:highlight w:val="none"/>
              </w:rPr>
              <w:t>综合部分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20</w:t>
            </w:r>
            <w:r>
              <w:rPr>
                <w:rFonts w:hint="eastAsia" w:ascii="宋体" w:hAnsi="宋体"/>
                <w:color w:val="auto"/>
                <w:sz w:val="24"/>
                <w:szCs w:val="24"/>
                <w:highlight w:val="none"/>
              </w:rPr>
              <w:t>分</w:t>
            </w:r>
            <w:r>
              <w:rPr>
                <w:rFonts w:ascii="宋体" w:hAnsi="宋体"/>
                <w:color w:val="auto"/>
                <w:sz w:val="24"/>
                <w:szCs w:val="24"/>
                <w:highlight w:val="none"/>
              </w:rPr>
              <w:t>）</w:t>
            </w: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A9183B8">
            <w:pPr>
              <w:adjustRightInd w:val="0"/>
              <w:spacing w:line="360" w:lineRule="auto"/>
              <w:jc w:val="center"/>
              <w:rPr>
                <w:rFonts w:ascii="宋体" w:hAnsi="宋体"/>
                <w:snapToGrid w:val="0"/>
                <w:color w:val="auto"/>
                <w:kern w:val="0"/>
                <w:sz w:val="24"/>
                <w:szCs w:val="24"/>
                <w:highlight w:val="none"/>
              </w:rPr>
            </w:pPr>
            <w:r>
              <w:rPr>
                <w:rFonts w:ascii="宋体" w:hAnsi="宋体"/>
                <w:snapToGrid w:val="0"/>
                <w:color w:val="auto"/>
                <w:kern w:val="0"/>
                <w:sz w:val="24"/>
                <w:szCs w:val="24"/>
                <w:highlight w:val="none"/>
              </w:rPr>
              <w:t>项目团队成员</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4C801C3E">
            <w:pPr>
              <w:adjustRightInd w:val="0"/>
              <w:snapToGrid w:val="0"/>
              <w:spacing w:before="40" w:after="40"/>
              <w:jc w:val="center"/>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3</w:t>
            </w:r>
            <w:r>
              <w:rPr>
                <w:rFonts w:hint="eastAsia" w:ascii="宋体" w:hAnsi="宋体" w:cs="Arial"/>
                <w:color w:val="auto"/>
                <w:sz w:val="24"/>
                <w:szCs w:val="24"/>
                <w:highlight w:val="none"/>
              </w:rPr>
              <w:t>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48F50129">
            <w:pPr>
              <w:pStyle w:val="34"/>
              <w:widowControl/>
              <w:spacing w:before="137"/>
              <w:ind w:right="-17"/>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除项目负责人外的项目组成员，具有相关专业的中级职称每增加一名加</w:t>
            </w:r>
            <w:r>
              <w:rPr>
                <w:rFonts w:hint="eastAsia" w:cs="宋体"/>
                <w:bCs/>
                <w:color w:val="auto"/>
                <w:kern w:val="2"/>
                <w:sz w:val="24"/>
                <w:szCs w:val="24"/>
                <w:highlight w:val="none"/>
                <w:shd w:val="clear" w:color="auto" w:fill="FFFFFF"/>
                <w:lang w:val="en-US" w:eastAsia="zh-CN" w:bidi="ar-SA"/>
              </w:rPr>
              <w:t>1</w:t>
            </w:r>
            <w:r>
              <w:rPr>
                <w:rFonts w:hint="eastAsia" w:ascii="宋体" w:hAnsi="宋体" w:eastAsia="宋体" w:cs="宋体"/>
                <w:bCs/>
                <w:color w:val="auto"/>
                <w:kern w:val="2"/>
                <w:sz w:val="24"/>
                <w:szCs w:val="24"/>
                <w:highlight w:val="none"/>
                <w:shd w:val="clear" w:color="auto" w:fill="FFFFFF"/>
                <w:lang w:val="en-US" w:eastAsia="zh-CN" w:bidi="ar-SA"/>
              </w:rPr>
              <w:t>分，最多加</w:t>
            </w:r>
            <w:r>
              <w:rPr>
                <w:rFonts w:hint="eastAsia" w:cs="宋体"/>
                <w:bCs/>
                <w:color w:val="auto"/>
                <w:kern w:val="2"/>
                <w:sz w:val="24"/>
                <w:szCs w:val="24"/>
                <w:highlight w:val="none"/>
                <w:shd w:val="clear" w:color="auto" w:fill="FFFFFF"/>
                <w:lang w:val="en-US" w:eastAsia="zh-CN" w:bidi="ar-SA"/>
              </w:rPr>
              <w:t>3</w:t>
            </w:r>
            <w:r>
              <w:rPr>
                <w:rFonts w:hint="eastAsia" w:ascii="宋体" w:hAnsi="宋体" w:eastAsia="宋体" w:cs="宋体"/>
                <w:bCs/>
                <w:color w:val="auto"/>
                <w:kern w:val="2"/>
                <w:sz w:val="24"/>
                <w:szCs w:val="24"/>
                <w:highlight w:val="none"/>
                <w:shd w:val="clear" w:color="auto" w:fill="FFFFFF"/>
                <w:lang w:val="en-US" w:eastAsia="zh-CN" w:bidi="ar-SA"/>
              </w:rPr>
              <w:t>分。</w:t>
            </w:r>
            <w:r>
              <w:rPr>
                <w:rFonts w:hint="eastAsia" w:cs="宋体"/>
                <w:bCs/>
                <w:color w:val="auto"/>
                <w:kern w:val="2"/>
                <w:sz w:val="24"/>
                <w:szCs w:val="24"/>
                <w:highlight w:val="none"/>
                <w:shd w:val="clear" w:color="auto" w:fill="FFFFFF"/>
                <w:lang w:val="en-US" w:eastAsia="zh-CN" w:bidi="ar-SA"/>
              </w:rPr>
              <w:t>（磋商</w:t>
            </w:r>
            <w:r>
              <w:rPr>
                <w:rFonts w:hint="eastAsia" w:ascii="宋体" w:hAnsi="宋体" w:eastAsia="宋体" w:cs="宋体"/>
                <w:bCs/>
                <w:color w:val="auto"/>
                <w:kern w:val="2"/>
                <w:sz w:val="24"/>
                <w:szCs w:val="24"/>
                <w:highlight w:val="none"/>
                <w:shd w:val="clear" w:color="auto" w:fill="FFFFFF"/>
                <w:lang w:val="en-US" w:eastAsia="zh-CN" w:bidi="ar-SA"/>
              </w:rPr>
              <w:t>文件中应附人员职称证书和</w:t>
            </w:r>
            <w:r>
              <w:rPr>
                <w:rFonts w:hint="eastAsia" w:cs="宋体"/>
                <w:bCs/>
                <w:color w:val="auto"/>
                <w:kern w:val="2"/>
                <w:sz w:val="24"/>
                <w:szCs w:val="24"/>
                <w:highlight w:val="none"/>
                <w:shd w:val="clear" w:color="auto" w:fill="FFFFFF"/>
                <w:lang w:val="en-US" w:eastAsia="zh-CN" w:bidi="ar-SA"/>
              </w:rPr>
              <w:t>与响应人劳动关系相关证明</w:t>
            </w:r>
            <w:r>
              <w:rPr>
                <w:rFonts w:hint="eastAsia" w:ascii="宋体" w:hAnsi="宋体" w:eastAsia="宋体" w:cs="宋体"/>
                <w:bCs/>
                <w:color w:val="auto"/>
                <w:kern w:val="2"/>
                <w:sz w:val="24"/>
                <w:szCs w:val="24"/>
                <w:highlight w:val="none"/>
                <w:shd w:val="clear" w:color="auto" w:fill="FFFFFF"/>
                <w:lang w:val="en-US" w:eastAsia="zh-CN" w:bidi="ar-SA"/>
              </w:rPr>
              <w:t>）</w:t>
            </w:r>
          </w:p>
        </w:tc>
      </w:tr>
      <w:tr w14:paraId="2EC4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6" w:hRule="atLeast"/>
        </w:trPr>
        <w:tc>
          <w:tcPr>
            <w:tcW w:w="1203" w:type="dxa"/>
            <w:vMerge w:val="continue"/>
            <w:tcBorders>
              <w:left w:val="single" w:color="auto" w:sz="4" w:space="0"/>
              <w:right w:val="single" w:color="auto" w:sz="4" w:space="0"/>
            </w:tcBorders>
            <w:noWrap w:val="0"/>
            <w:vAlign w:val="center"/>
          </w:tcPr>
          <w:p w14:paraId="1FA8B927">
            <w:pPr>
              <w:adjustRightInd w:val="0"/>
              <w:snapToGrid w:val="0"/>
              <w:spacing w:before="40" w:after="40" w:line="440" w:lineRule="exact"/>
              <w:jc w:val="center"/>
              <w:rPr>
                <w:rFonts w:ascii="宋体" w:hAnsi="宋体" w:cs="Arial"/>
                <w:b/>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78DAE02">
            <w:pPr>
              <w:jc w:val="center"/>
              <w:rPr>
                <w:rFonts w:hint="eastAsia" w:ascii="宋体" w:hAnsi="宋体" w:cs="宋体"/>
                <w:color w:val="auto"/>
                <w:sz w:val="24"/>
                <w:szCs w:val="24"/>
                <w:highlight w:val="none"/>
                <w:lang w:bidi="zh-CN"/>
              </w:rPr>
            </w:pPr>
          </w:p>
          <w:p w14:paraId="1A554808">
            <w:pPr>
              <w:jc w:val="center"/>
              <w:rPr>
                <w:rFonts w:hint="eastAsia" w:ascii="宋体" w:hAnsi="宋体" w:cs="宋体"/>
                <w:color w:val="auto"/>
                <w:sz w:val="24"/>
                <w:szCs w:val="24"/>
                <w:highlight w:val="none"/>
                <w:lang w:bidi="zh-CN"/>
              </w:rPr>
            </w:pPr>
            <w:r>
              <w:rPr>
                <w:rFonts w:hint="eastAsia" w:ascii="宋体" w:hAnsi="宋体" w:cs="宋体"/>
                <w:color w:val="auto"/>
                <w:sz w:val="24"/>
                <w:szCs w:val="24"/>
                <w:highlight w:val="none"/>
                <w:lang w:bidi="zh-CN"/>
              </w:rPr>
              <w:t>企业认证</w:t>
            </w:r>
          </w:p>
          <w:p w14:paraId="38313359">
            <w:pPr>
              <w:jc w:val="center"/>
              <w:rPr>
                <w:rFonts w:hint="eastAsia" w:ascii="宋体" w:hAnsi="宋体" w:cs="宋体"/>
                <w:color w:val="auto"/>
                <w:sz w:val="24"/>
                <w:szCs w:val="24"/>
                <w:highlight w:val="none"/>
                <w:lang w:bidi="zh-CN"/>
              </w:rPr>
            </w:pPr>
          </w:p>
        </w:tc>
        <w:tc>
          <w:tcPr>
            <w:tcW w:w="897" w:type="dxa"/>
            <w:tcBorders>
              <w:top w:val="single" w:color="auto" w:sz="4" w:space="0"/>
              <w:left w:val="single" w:color="auto" w:sz="4" w:space="0"/>
              <w:bottom w:val="single" w:color="auto" w:sz="4" w:space="0"/>
              <w:right w:val="single" w:color="auto" w:sz="4" w:space="0"/>
            </w:tcBorders>
            <w:noWrap w:val="0"/>
            <w:vAlign w:val="center"/>
          </w:tcPr>
          <w:p w14:paraId="15D7D142">
            <w:pPr>
              <w:adjustRightInd w:val="0"/>
              <w:snapToGrid w:val="0"/>
              <w:spacing w:before="40" w:after="40"/>
              <w:jc w:val="center"/>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3</w:t>
            </w:r>
            <w:r>
              <w:rPr>
                <w:rFonts w:hint="eastAsia" w:ascii="宋体" w:hAnsi="宋体" w:eastAsia="宋体" w:cs="Arial"/>
                <w:color w:val="auto"/>
                <w:sz w:val="24"/>
                <w:szCs w:val="24"/>
                <w:highlight w:val="none"/>
                <w:lang w:val="zh-CN"/>
              </w:rPr>
              <w:t>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32D33221">
            <w:pPr>
              <w:pStyle w:val="34"/>
              <w:widowControl/>
              <w:spacing w:before="137" w:line="400" w:lineRule="exact"/>
              <w:ind w:right="-17"/>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具有“质量管理体系认证”“环境管理体系认证”“职业健康安全管理体系认证”证书的每提供一份得1分，累计得3分，不提供不得分。</w:t>
            </w:r>
            <w:r>
              <w:rPr>
                <w:rFonts w:hint="eastAsia" w:cs="宋体"/>
                <w:bCs/>
                <w:color w:val="auto"/>
                <w:kern w:val="2"/>
                <w:sz w:val="24"/>
                <w:szCs w:val="24"/>
                <w:highlight w:val="none"/>
                <w:shd w:val="clear" w:color="auto" w:fill="FFFFFF"/>
                <w:lang w:val="en-US" w:eastAsia="zh-CN" w:bidi="ar-SA"/>
              </w:rPr>
              <w:t>（磋商</w:t>
            </w:r>
            <w:r>
              <w:rPr>
                <w:rFonts w:hint="eastAsia" w:ascii="宋体" w:hAnsi="宋体" w:eastAsia="宋体" w:cs="宋体"/>
                <w:bCs/>
                <w:color w:val="auto"/>
                <w:kern w:val="2"/>
                <w:sz w:val="24"/>
                <w:szCs w:val="24"/>
                <w:highlight w:val="none"/>
                <w:shd w:val="clear" w:color="auto" w:fill="FFFFFF"/>
                <w:lang w:val="en-US" w:eastAsia="zh-CN" w:bidi="ar-SA"/>
              </w:rPr>
              <w:t>文件内附证书原件扫描件）</w:t>
            </w:r>
          </w:p>
        </w:tc>
      </w:tr>
      <w:tr w14:paraId="5880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62" w:hRule="atLeast"/>
        </w:trPr>
        <w:tc>
          <w:tcPr>
            <w:tcW w:w="1203" w:type="dxa"/>
            <w:vMerge w:val="continue"/>
            <w:tcBorders>
              <w:left w:val="single" w:color="auto" w:sz="4" w:space="0"/>
              <w:right w:val="single" w:color="auto" w:sz="4" w:space="0"/>
            </w:tcBorders>
            <w:noWrap w:val="0"/>
            <w:vAlign w:val="center"/>
          </w:tcPr>
          <w:p w14:paraId="5399A1C4">
            <w:pPr>
              <w:adjustRightInd w:val="0"/>
              <w:snapToGrid w:val="0"/>
              <w:spacing w:before="40" w:after="40" w:line="440" w:lineRule="exact"/>
              <w:jc w:val="center"/>
              <w:rPr>
                <w:rFonts w:ascii="宋体" w:hAnsi="宋体" w:cs="Arial"/>
                <w:b/>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75F8AB1E">
            <w:pPr>
              <w:jc w:val="center"/>
              <w:rPr>
                <w:rFonts w:hint="eastAsia"/>
                <w:color w:val="auto"/>
                <w:sz w:val="24"/>
                <w:highlight w:val="none"/>
              </w:rPr>
            </w:pPr>
            <w:r>
              <w:rPr>
                <w:rFonts w:hint="eastAsia"/>
                <w:color w:val="auto"/>
                <w:sz w:val="24"/>
                <w:highlight w:val="none"/>
              </w:rPr>
              <w:t>业绩</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214E763B">
            <w:pPr>
              <w:adjustRightInd w:val="0"/>
              <w:snapToGrid w:val="0"/>
              <w:spacing w:before="40" w:after="40"/>
              <w:jc w:val="center"/>
              <w:rPr>
                <w:rFonts w:hint="eastAsia" w:ascii="宋体" w:hAnsi="宋体" w:eastAsia="宋体" w:cs="Arial"/>
                <w:color w:val="auto"/>
                <w:sz w:val="24"/>
                <w:szCs w:val="24"/>
                <w:highlight w:val="none"/>
              </w:rPr>
            </w:pPr>
            <w:r>
              <w:rPr>
                <w:rFonts w:hint="eastAsia" w:ascii="宋体" w:hAnsi="宋体" w:cs="Arial"/>
                <w:color w:val="auto"/>
                <w:sz w:val="24"/>
                <w:szCs w:val="24"/>
                <w:highlight w:val="none"/>
                <w:lang w:val="en-US" w:eastAsia="zh-CN"/>
              </w:rPr>
              <w:t>3</w:t>
            </w:r>
            <w:r>
              <w:rPr>
                <w:rFonts w:hint="eastAsia" w:ascii="宋体" w:hAnsi="宋体" w:eastAsia="宋体" w:cs="Arial"/>
                <w:color w:val="auto"/>
                <w:sz w:val="24"/>
                <w:szCs w:val="24"/>
                <w:highlight w:val="none"/>
              </w:rPr>
              <w:t>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664646FC">
            <w:pPr>
              <w:pStyle w:val="34"/>
              <w:widowControl/>
              <w:spacing w:before="137" w:line="400" w:lineRule="exact"/>
              <w:ind w:right="-17"/>
              <w:textAlignment w:val="baseline"/>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提供202</w:t>
            </w:r>
            <w:r>
              <w:rPr>
                <w:rFonts w:hint="eastAsia" w:cs="宋体"/>
                <w:bCs/>
                <w:color w:val="auto"/>
                <w:kern w:val="2"/>
                <w:sz w:val="24"/>
                <w:szCs w:val="24"/>
                <w:highlight w:val="none"/>
                <w:shd w:val="clear" w:color="auto" w:fill="FFFFFF"/>
                <w:lang w:val="en-US" w:eastAsia="zh-CN" w:bidi="ar-SA"/>
              </w:rPr>
              <w:t>2</w:t>
            </w:r>
            <w:r>
              <w:rPr>
                <w:rFonts w:hint="eastAsia" w:ascii="宋体" w:hAnsi="宋体" w:eastAsia="宋体" w:cs="宋体"/>
                <w:bCs/>
                <w:color w:val="auto"/>
                <w:kern w:val="2"/>
                <w:sz w:val="24"/>
                <w:szCs w:val="24"/>
                <w:highlight w:val="none"/>
                <w:shd w:val="clear" w:color="auto" w:fill="FFFFFF"/>
                <w:lang w:val="en-US" w:eastAsia="zh-CN" w:bidi="ar-SA"/>
              </w:rPr>
              <w:t>年1月以来已完成的类似项目业绩证明材料，每提供一项得</w:t>
            </w:r>
            <w:r>
              <w:rPr>
                <w:rFonts w:hint="eastAsia" w:cs="宋体"/>
                <w:bCs/>
                <w:color w:val="auto"/>
                <w:kern w:val="2"/>
                <w:sz w:val="24"/>
                <w:szCs w:val="24"/>
                <w:highlight w:val="none"/>
                <w:shd w:val="clear" w:color="auto" w:fill="FFFFFF"/>
                <w:lang w:val="en-US" w:eastAsia="zh-CN" w:bidi="ar-SA"/>
              </w:rPr>
              <w:t>1</w:t>
            </w:r>
            <w:r>
              <w:rPr>
                <w:rFonts w:hint="eastAsia" w:ascii="宋体" w:hAnsi="宋体" w:eastAsia="宋体" w:cs="宋体"/>
                <w:bCs/>
                <w:color w:val="auto"/>
                <w:kern w:val="2"/>
                <w:sz w:val="24"/>
                <w:szCs w:val="24"/>
                <w:highlight w:val="none"/>
                <w:shd w:val="clear" w:color="auto" w:fill="FFFFFF"/>
                <w:lang w:val="en-US" w:eastAsia="zh-CN" w:bidi="ar-SA"/>
              </w:rPr>
              <w:t>分，最高得</w:t>
            </w:r>
            <w:r>
              <w:rPr>
                <w:rFonts w:hint="eastAsia" w:cs="宋体"/>
                <w:bCs/>
                <w:color w:val="auto"/>
                <w:kern w:val="2"/>
                <w:sz w:val="24"/>
                <w:szCs w:val="24"/>
                <w:highlight w:val="none"/>
                <w:shd w:val="clear" w:color="auto" w:fill="FFFFFF"/>
                <w:lang w:val="en-US" w:eastAsia="zh-CN" w:bidi="ar-SA"/>
              </w:rPr>
              <w:t>3</w:t>
            </w:r>
            <w:r>
              <w:rPr>
                <w:rFonts w:hint="eastAsia" w:ascii="宋体" w:hAnsi="宋体" w:eastAsia="宋体" w:cs="宋体"/>
                <w:bCs/>
                <w:color w:val="auto"/>
                <w:kern w:val="2"/>
                <w:sz w:val="24"/>
                <w:szCs w:val="24"/>
                <w:highlight w:val="none"/>
                <w:shd w:val="clear" w:color="auto" w:fill="FFFFFF"/>
                <w:lang w:val="en-US" w:eastAsia="zh-CN" w:bidi="ar-SA"/>
              </w:rPr>
              <w:t>分。</w:t>
            </w:r>
            <w:r>
              <w:rPr>
                <w:rFonts w:hint="eastAsia" w:cs="宋体"/>
                <w:bCs/>
                <w:color w:val="auto"/>
                <w:kern w:val="2"/>
                <w:sz w:val="24"/>
                <w:szCs w:val="24"/>
                <w:highlight w:val="none"/>
                <w:shd w:val="clear" w:color="auto" w:fill="FFFFFF"/>
                <w:lang w:val="en-US" w:eastAsia="zh-CN" w:bidi="ar-SA"/>
              </w:rPr>
              <w:t>（</w:t>
            </w:r>
            <w:r>
              <w:rPr>
                <w:rFonts w:hint="eastAsia" w:ascii="宋体" w:hAnsi="宋体" w:eastAsia="宋体" w:cs="宋体"/>
                <w:bCs/>
                <w:color w:val="auto"/>
                <w:kern w:val="2"/>
                <w:sz w:val="24"/>
                <w:szCs w:val="24"/>
                <w:highlight w:val="none"/>
                <w:shd w:val="clear" w:color="auto" w:fill="FFFFFF"/>
                <w:lang w:val="en-US" w:eastAsia="zh-CN" w:bidi="ar-SA"/>
              </w:rPr>
              <w:t>提供中标通知书或合同书复印件）</w:t>
            </w:r>
          </w:p>
        </w:tc>
      </w:tr>
      <w:tr w14:paraId="2C2A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9" w:hRule="atLeast"/>
        </w:trPr>
        <w:tc>
          <w:tcPr>
            <w:tcW w:w="1203" w:type="dxa"/>
            <w:vMerge w:val="continue"/>
            <w:tcBorders>
              <w:left w:val="single" w:color="auto" w:sz="4" w:space="0"/>
              <w:right w:val="single" w:color="auto" w:sz="4" w:space="0"/>
            </w:tcBorders>
            <w:noWrap w:val="0"/>
            <w:vAlign w:val="center"/>
          </w:tcPr>
          <w:p w14:paraId="4AF7544A">
            <w:pPr>
              <w:adjustRightInd w:val="0"/>
              <w:snapToGrid w:val="0"/>
              <w:spacing w:before="40" w:after="40" w:line="440" w:lineRule="exact"/>
              <w:jc w:val="center"/>
              <w:rPr>
                <w:rFonts w:ascii="宋体" w:hAnsi="宋体" w:cs="Arial"/>
                <w:b/>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1FF6C08">
            <w:pPr>
              <w:pStyle w:val="34"/>
              <w:spacing w:before="136"/>
              <w:jc w:val="center"/>
              <w:rPr>
                <w:color w:val="auto"/>
                <w:sz w:val="24"/>
                <w:highlight w:val="none"/>
              </w:rPr>
            </w:pPr>
            <w:r>
              <w:rPr>
                <w:color w:val="auto"/>
                <w:sz w:val="24"/>
                <w:highlight w:val="none"/>
              </w:rPr>
              <w:t>优惠</w:t>
            </w:r>
            <w:r>
              <w:rPr>
                <w:rFonts w:hint="eastAsia"/>
                <w:color w:val="auto"/>
                <w:sz w:val="24"/>
                <w:highlight w:val="none"/>
              </w:rPr>
              <w:t>服务承诺</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16E3B489">
            <w:pPr>
              <w:adjustRightInd w:val="0"/>
              <w:snapToGrid w:val="0"/>
              <w:jc w:val="center"/>
              <w:rPr>
                <w:color w:val="auto"/>
                <w:sz w:val="24"/>
                <w:highlight w:val="none"/>
              </w:rPr>
            </w:pP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分</w:t>
            </w:r>
          </w:p>
        </w:tc>
        <w:tc>
          <w:tcPr>
            <w:tcW w:w="6285" w:type="dxa"/>
            <w:tcBorders>
              <w:top w:val="single" w:color="auto" w:sz="4" w:space="0"/>
              <w:left w:val="single" w:color="auto" w:sz="4" w:space="0"/>
              <w:bottom w:val="single" w:color="auto" w:sz="4" w:space="0"/>
              <w:right w:val="single" w:color="auto" w:sz="4" w:space="0"/>
            </w:tcBorders>
            <w:noWrap w:val="0"/>
            <w:vAlign w:val="center"/>
          </w:tcPr>
          <w:p w14:paraId="414FE915">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1、服务承诺包含不更换团队成员、数据保密</w:t>
            </w:r>
            <w:r>
              <w:rPr>
                <w:rFonts w:hint="eastAsia" w:ascii="宋体" w:hAnsi="宋体" w:cs="宋体"/>
                <w:bCs/>
                <w:color w:val="auto"/>
                <w:kern w:val="2"/>
                <w:sz w:val="24"/>
                <w:szCs w:val="24"/>
                <w:highlight w:val="none"/>
                <w:shd w:val="clear" w:color="auto" w:fill="FFFFFF"/>
                <w:lang w:val="en-US" w:eastAsia="zh-CN" w:bidi="ar-SA"/>
              </w:rPr>
              <w:t>的</w:t>
            </w:r>
            <w:r>
              <w:rPr>
                <w:rFonts w:hint="eastAsia" w:ascii="宋体" w:hAnsi="宋体" w:eastAsia="宋体" w:cs="宋体"/>
                <w:bCs/>
                <w:color w:val="auto"/>
                <w:kern w:val="2"/>
                <w:sz w:val="24"/>
                <w:szCs w:val="24"/>
                <w:highlight w:val="none"/>
                <w:shd w:val="clear" w:color="auto" w:fill="FFFFFF"/>
                <w:lang w:val="en-US" w:eastAsia="zh-CN" w:bidi="ar-SA"/>
              </w:rPr>
              <w:t>承诺</w:t>
            </w:r>
            <w:r>
              <w:rPr>
                <w:rFonts w:hint="eastAsia" w:ascii="宋体" w:hAnsi="宋体" w:cs="宋体"/>
                <w:bCs/>
                <w:color w:val="auto"/>
                <w:kern w:val="2"/>
                <w:sz w:val="24"/>
                <w:szCs w:val="24"/>
                <w:highlight w:val="none"/>
                <w:shd w:val="clear" w:color="auto" w:fill="FFFFFF"/>
                <w:lang w:val="en-US" w:eastAsia="zh-CN" w:bidi="ar-SA"/>
              </w:rPr>
              <w:t>；</w:t>
            </w:r>
          </w:p>
          <w:p w14:paraId="4DD4435D">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2、项目完成</w:t>
            </w:r>
            <w:r>
              <w:rPr>
                <w:rFonts w:hint="eastAsia" w:ascii="宋体" w:hAnsi="宋体" w:cs="宋体"/>
                <w:bCs/>
                <w:color w:val="auto"/>
                <w:kern w:val="2"/>
                <w:sz w:val="24"/>
                <w:szCs w:val="24"/>
                <w:highlight w:val="none"/>
                <w:shd w:val="clear" w:color="auto" w:fill="FFFFFF"/>
                <w:lang w:val="en-US" w:eastAsia="zh-CN" w:bidi="ar-SA"/>
              </w:rPr>
              <w:t>（</w:t>
            </w:r>
            <w:r>
              <w:rPr>
                <w:rFonts w:hint="eastAsia" w:ascii="宋体" w:hAnsi="宋体" w:eastAsia="宋体" w:cs="宋体"/>
                <w:bCs/>
                <w:color w:val="auto"/>
                <w:kern w:val="2"/>
                <w:sz w:val="24"/>
                <w:szCs w:val="24"/>
                <w:highlight w:val="none"/>
                <w:shd w:val="clear" w:color="auto" w:fill="FFFFFF"/>
                <w:lang w:val="en-US" w:eastAsia="zh-CN" w:bidi="ar-SA"/>
              </w:rPr>
              <w:t>服务期满）后的服务承诺；</w:t>
            </w:r>
          </w:p>
          <w:p w14:paraId="4E514E7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zh-CN" w:eastAsia="zh-CN" w:bidi="ar-SA"/>
              </w:rPr>
            </w:pPr>
            <w:r>
              <w:rPr>
                <w:rFonts w:hint="eastAsia" w:ascii="宋体" w:hAnsi="宋体" w:eastAsia="宋体" w:cs="宋体"/>
                <w:bCs/>
                <w:color w:val="auto"/>
                <w:kern w:val="2"/>
                <w:sz w:val="24"/>
                <w:szCs w:val="24"/>
                <w:highlight w:val="none"/>
                <w:shd w:val="clear" w:color="auto" w:fill="FFFFFF"/>
                <w:lang w:val="en-US" w:eastAsia="zh-CN" w:bidi="ar-SA"/>
              </w:rPr>
              <w:t>3</w:t>
            </w:r>
            <w:r>
              <w:rPr>
                <w:rFonts w:hint="eastAsia" w:ascii="宋体" w:hAnsi="宋体" w:eastAsia="宋体" w:cs="宋体"/>
                <w:bCs/>
                <w:color w:val="auto"/>
                <w:kern w:val="2"/>
                <w:sz w:val="24"/>
                <w:szCs w:val="24"/>
                <w:highlight w:val="none"/>
                <w:shd w:val="clear" w:color="auto" w:fill="FFFFFF"/>
                <w:lang w:val="zh-CN" w:eastAsia="zh-CN" w:bidi="ar-SA"/>
              </w:rPr>
              <w:t>、承诺能够严格执行各种专业规范，积极配合方案及相关</w:t>
            </w:r>
            <w:r>
              <w:rPr>
                <w:rFonts w:hint="eastAsia" w:ascii="宋体" w:hAnsi="宋体" w:eastAsia="宋体" w:cs="宋体"/>
                <w:bCs/>
                <w:color w:val="auto"/>
                <w:kern w:val="2"/>
                <w:sz w:val="24"/>
                <w:szCs w:val="24"/>
                <w:highlight w:val="none"/>
                <w:shd w:val="clear" w:color="auto" w:fill="FFFFFF"/>
                <w:lang w:val="en-US" w:eastAsia="zh-CN" w:bidi="ar-SA"/>
              </w:rPr>
              <w:t>部门</w:t>
            </w:r>
            <w:r>
              <w:rPr>
                <w:rFonts w:hint="eastAsia" w:ascii="宋体" w:hAnsi="宋体" w:eastAsia="宋体" w:cs="宋体"/>
                <w:bCs/>
                <w:color w:val="auto"/>
                <w:kern w:val="2"/>
                <w:sz w:val="24"/>
                <w:szCs w:val="24"/>
                <w:highlight w:val="none"/>
                <w:shd w:val="clear" w:color="auto" w:fill="FFFFFF"/>
                <w:lang w:val="zh-CN" w:eastAsia="zh-CN" w:bidi="ar-SA"/>
              </w:rPr>
              <w:t>审批时的各项修改等内容；</w:t>
            </w:r>
          </w:p>
          <w:p w14:paraId="76228131">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default"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4、就本项目的监控管理措施、服务质量保证措施、确保服务周期、后期服务配合等做出承诺；</w:t>
            </w:r>
          </w:p>
          <w:p w14:paraId="503D66DC">
            <w:pPr>
              <w:pStyle w:val="17"/>
              <w:keepNext w:val="0"/>
              <w:keepLines w:val="0"/>
              <w:pageBreakBefore w:val="0"/>
              <w:widowControl w:val="0"/>
              <w:kinsoku/>
              <w:wordWrap/>
              <w:overflowPunct/>
              <w:topLinePunct w:val="0"/>
              <w:autoSpaceDE/>
              <w:autoSpaceDN/>
              <w:bidi w:val="0"/>
              <w:adjustRightInd/>
              <w:snapToGrid w:val="0"/>
              <w:spacing w:after="0" w:line="440" w:lineRule="exact"/>
              <w:ind w:firstLine="0" w:firstLineChars="0"/>
              <w:textAlignment w:val="auto"/>
              <w:rPr>
                <w:rFonts w:hint="eastAsia" w:ascii="宋体" w:hAnsi="宋体" w:cs="宋体"/>
                <w:b/>
                <w:bCs w:val="0"/>
                <w:color w:val="auto"/>
                <w:kern w:val="2"/>
                <w:sz w:val="24"/>
                <w:szCs w:val="24"/>
                <w:highlight w:val="none"/>
                <w:shd w:val="clear" w:color="auto" w:fill="FFFFFF"/>
                <w:lang w:val="zh-CN" w:eastAsia="zh-CN" w:bidi="ar-SA"/>
              </w:rPr>
            </w:pPr>
            <w:r>
              <w:rPr>
                <w:rFonts w:hint="eastAsia" w:ascii="宋体" w:hAnsi="宋体" w:cs="宋体"/>
                <w:b/>
                <w:bCs w:val="0"/>
                <w:color w:val="auto"/>
                <w:kern w:val="2"/>
                <w:sz w:val="24"/>
                <w:szCs w:val="24"/>
                <w:highlight w:val="none"/>
                <w:shd w:val="clear" w:color="auto" w:fill="FFFFFF"/>
                <w:lang w:val="en-US" w:eastAsia="zh-CN" w:bidi="ar-SA"/>
              </w:rPr>
              <w:t>注：1、以上内容</w:t>
            </w:r>
            <w:r>
              <w:rPr>
                <w:rFonts w:hint="eastAsia" w:ascii="宋体" w:hAnsi="宋体" w:cs="宋体"/>
                <w:b/>
                <w:bCs w:val="0"/>
                <w:color w:val="auto"/>
                <w:kern w:val="2"/>
                <w:sz w:val="24"/>
                <w:szCs w:val="24"/>
                <w:highlight w:val="none"/>
                <w:shd w:val="clear" w:color="auto" w:fill="FFFFFF"/>
                <w:lang w:val="zh-CN" w:eastAsia="zh-CN" w:bidi="ar-SA"/>
              </w:rPr>
              <w:t>不提供不得分。</w:t>
            </w:r>
          </w:p>
          <w:p w14:paraId="07394C17">
            <w:pPr>
              <w:pStyle w:val="17"/>
              <w:keepNext w:val="0"/>
              <w:keepLines w:val="0"/>
              <w:pageBreakBefore w:val="0"/>
              <w:widowControl w:val="0"/>
              <w:kinsoku/>
              <w:wordWrap/>
              <w:overflowPunct/>
              <w:topLinePunct w:val="0"/>
              <w:autoSpaceDE/>
              <w:autoSpaceDN/>
              <w:bidi w:val="0"/>
              <w:adjustRightInd/>
              <w:snapToGrid w:val="0"/>
              <w:spacing w:after="0" w:line="440" w:lineRule="exact"/>
              <w:ind w:firstLine="482" w:firstLineChars="20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cs="宋体"/>
                <w:b/>
                <w:bCs w:val="0"/>
                <w:color w:val="auto"/>
                <w:kern w:val="2"/>
                <w:sz w:val="24"/>
                <w:szCs w:val="24"/>
                <w:highlight w:val="none"/>
                <w:shd w:val="clear" w:color="auto" w:fill="FFFFFF"/>
                <w:lang w:val="en-US" w:eastAsia="zh-CN" w:bidi="ar-SA"/>
              </w:rPr>
              <w:t>2、以上内容完整、描述具体详实，具有针对性和可实施性的，得11分；内容通用、简单，具有一定的可实施性，但不具有针对性，得6分；内容不够完整、描述不够具体详实的，不具有针对性、缺乏可实施性，得1分。</w:t>
            </w:r>
          </w:p>
        </w:tc>
      </w:tr>
      <w:tr w14:paraId="04F5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751" w:hRule="atLeast"/>
        </w:trPr>
        <w:tc>
          <w:tcPr>
            <w:tcW w:w="1203" w:type="dxa"/>
            <w:vMerge w:val="restart"/>
            <w:tcBorders>
              <w:left w:val="single" w:color="auto" w:sz="4" w:space="0"/>
              <w:right w:val="single" w:color="auto" w:sz="4" w:space="0"/>
            </w:tcBorders>
            <w:noWrap w:val="0"/>
            <w:vAlign w:val="center"/>
          </w:tcPr>
          <w:p w14:paraId="7A65BEE1">
            <w:pPr>
              <w:rPr>
                <w:rFonts w:hint="eastAsia" w:ascii="宋体" w:hAnsi="宋体" w:cs="宋体"/>
                <w:b/>
                <w:color w:val="auto"/>
                <w:sz w:val="24"/>
                <w:szCs w:val="24"/>
                <w:highlight w:val="none"/>
              </w:rPr>
            </w:pPr>
            <w:r>
              <w:rPr>
                <w:rFonts w:hint="eastAsia" w:ascii="宋体" w:hAnsi="宋体" w:cs="宋体"/>
                <w:color w:val="auto"/>
                <w:sz w:val="24"/>
                <w:szCs w:val="24"/>
                <w:highlight w:val="none"/>
              </w:rPr>
              <w:t>技术部分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60</w:t>
            </w:r>
            <w:r>
              <w:rPr>
                <w:rFonts w:hint="eastAsia" w:ascii="宋体" w:hAnsi="宋体" w:cs="宋体"/>
                <w:color w:val="auto"/>
                <w:sz w:val="24"/>
                <w:szCs w:val="24"/>
                <w:highlight w:val="none"/>
              </w:rPr>
              <w:t>分）</w:t>
            </w:r>
          </w:p>
        </w:tc>
        <w:tc>
          <w:tcPr>
            <w:tcW w:w="1204" w:type="dxa"/>
            <w:tcBorders>
              <w:top w:val="single" w:color="auto" w:sz="4" w:space="0"/>
              <w:left w:val="single" w:color="auto" w:sz="4" w:space="0"/>
              <w:right w:val="single" w:color="auto" w:sz="4" w:space="0"/>
            </w:tcBorders>
            <w:noWrap w:val="0"/>
            <w:vAlign w:val="center"/>
          </w:tcPr>
          <w:p w14:paraId="6C03C8F7">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项目总体理解</w:t>
            </w:r>
          </w:p>
        </w:tc>
        <w:tc>
          <w:tcPr>
            <w:tcW w:w="897" w:type="dxa"/>
            <w:tcBorders>
              <w:top w:val="single" w:color="auto" w:sz="4" w:space="0"/>
              <w:left w:val="single" w:color="auto" w:sz="4" w:space="0"/>
              <w:right w:val="single" w:color="auto" w:sz="4" w:space="0"/>
            </w:tcBorders>
            <w:noWrap w:val="0"/>
            <w:vAlign w:val="center"/>
          </w:tcPr>
          <w:p w14:paraId="27BE4AE7">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10分</w:t>
            </w:r>
          </w:p>
        </w:tc>
        <w:tc>
          <w:tcPr>
            <w:tcW w:w="6285" w:type="dxa"/>
            <w:tcBorders>
              <w:top w:val="single" w:color="auto" w:sz="4" w:space="0"/>
              <w:left w:val="single" w:color="auto" w:sz="4" w:space="0"/>
              <w:right w:val="single" w:color="auto" w:sz="4" w:space="0"/>
            </w:tcBorders>
            <w:noWrap w:val="0"/>
            <w:vAlign w:val="top"/>
          </w:tcPr>
          <w:p w14:paraId="3BEDE021">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根据供应商提供的方案对本项目研究背景、研究目的、重要性和意义、重点任务等方面的分析，形成较为准确的对项目重点内容的基本判断；</w:t>
            </w:r>
          </w:p>
          <w:p w14:paraId="2DCB1D14">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把握项目定位准确，完全满足本项目的采购需求，分析准确，符合当地实际，具有较强的可行性的得10分；</w:t>
            </w:r>
          </w:p>
          <w:p w14:paraId="2B993437">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把握项目定位较准确，基本满足本项目的采购需求，符合当地实际，可行性高的得7分；</w:t>
            </w:r>
          </w:p>
          <w:p w14:paraId="21D5C513">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项目定位一般，能满足本项目的 采购需求，符合当地实际但可行性一般的得4分；</w:t>
            </w:r>
          </w:p>
          <w:p w14:paraId="0D9DC324">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项目定位不准确，不能满足本项目的采购需求，不符合当地实际，可行性差的得1分；</w:t>
            </w:r>
          </w:p>
          <w:p w14:paraId="710D2F92">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05ED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90" w:hRule="atLeast"/>
        </w:trPr>
        <w:tc>
          <w:tcPr>
            <w:tcW w:w="1203" w:type="dxa"/>
            <w:vMerge w:val="continue"/>
            <w:tcBorders>
              <w:left w:val="single" w:color="auto" w:sz="4" w:space="0"/>
              <w:right w:val="single" w:color="auto" w:sz="4" w:space="0"/>
            </w:tcBorders>
            <w:noWrap w:val="0"/>
            <w:vAlign w:val="center"/>
          </w:tcPr>
          <w:p w14:paraId="7D79FC68">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53317ED6">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规划大纲</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16643839">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10分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574A4CFF">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规划大纲完整系统、内容详尽、条理清晰，完全满足本项目的采购需求，总体思路清晰，符合当地实际，具有较强的可行性得10分；</w:t>
            </w:r>
          </w:p>
          <w:p w14:paraId="35F9476D">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规划大纲较全面，内容全面有条理，满足本项目的采购需求，符合当地实际，具有较强的可行性得7分；</w:t>
            </w:r>
          </w:p>
          <w:p w14:paraId="322803FF">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规划大纲满足本项目的采购需求，符合当地实际，具有可行性得4分；</w:t>
            </w:r>
          </w:p>
          <w:p w14:paraId="18ADE2BC">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规划大纲较简单但基本满足本项目的采购需求，具有可行性得1分；</w:t>
            </w:r>
          </w:p>
          <w:p w14:paraId="5817C61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3037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083" w:hRule="atLeast"/>
        </w:trPr>
        <w:tc>
          <w:tcPr>
            <w:tcW w:w="1203" w:type="dxa"/>
            <w:vMerge w:val="continue"/>
            <w:tcBorders>
              <w:left w:val="single" w:color="auto" w:sz="4" w:space="0"/>
              <w:right w:val="single" w:color="auto" w:sz="4" w:space="0"/>
            </w:tcBorders>
            <w:noWrap w:val="0"/>
            <w:vAlign w:val="center"/>
          </w:tcPr>
          <w:p w14:paraId="24E6EEF6">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10C58331">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规划政策依据</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30AE5029">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5分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6A53180B">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规划政策依据充分完整、内容详尽、条理清晰，完全满足本项目的采购需求，符合当地实际，具有较强的可行性得5分；</w:t>
            </w:r>
          </w:p>
          <w:p w14:paraId="424AE981">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规划大纲政策依据内容全面，满足本项目的采购需求，符合当地实际，具有可行性得3分；</w:t>
            </w:r>
          </w:p>
          <w:p w14:paraId="1E9C6935">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规划政策依据较简单但基本满足本项目的采购需求，具有可行性得1分；</w:t>
            </w:r>
          </w:p>
          <w:p w14:paraId="2488C4C7">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60B5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03" w:hRule="atLeast"/>
        </w:trPr>
        <w:tc>
          <w:tcPr>
            <w:tcW w:w="1203" w:type="dxa"/>
            <w:vMerge w:val="continue"/>
            <w:tcBorders>
              <w:left w:val="single" w:color="auto" w:sz="4" w:space="0"/>
              <w:right w:val="single" w:color="auto" w:sz="4" w:space="0"/>
            </w:tcBorders>
            <w:noWrap w:val="0"/>
            <w:vAlign w:val="center"/>
          </w:tcPr>
          <w:p w14:paraId="6538921F">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B72EFCD">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规划战略目标定位</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84208D1">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10分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657E826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规划战略目标定位理解深刻、精准且有创意、内容详尽、条理清晰，完全满足本项目的采购需求，符合当地实际，具有较强的可行性得10分；</w:t>
            </w:r>
          </w:p>
          <w:p w14:paraId="2DED12C8">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规划战略目标定位理解全面、精准、内容全面有条理，满足本项目的采购需求，符合当地实际，具有较强的可行性得7分；</w:t>
            </w:r>
          </w:p>
          <w:p w14:paraId="043F803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规划战略目标定位理解满足本项 目的采购需求，符合当地实际，具有可行性，需要进一步完善或提高得4分；</w:t>
            </w:r>
          </w:p>
          <w:p w14:paraId="40C08BAB">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规划战略目标定位理解不全面，各方面有待提高的得1分；</w:t>
            </w:r>
          </w:p>
          <w:p w14:paraId="5CC1373C">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6A04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94" w:hRule="atLeast"/>
        </w:trPr>
        <w:tc>
          <w:tcPr>
            <w:tcW w:w="1203" w:type="dxa"/>
            <w:vMerge w:val="continue"/>
            <w:tcBorders>
              <w:left w:val="single" w:color="auto" w:sz="4" w:space="0"/>
              <w:right w:val="single" w:color="auto" w:sz="4" w:space="0"/>
            </w:tcBorders>
            <w:noWrap w:val="0"/>
            <w:vAlign w:val="center"/>
          </w:tcPr>
          <w:p w14:paraId="5FB9729D">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35E0F4C2">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规划思路初步方案</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524E1A7F">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10分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4BAB1194">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方案全面、详细，具有针对性，根据项目需求情况提出详细、具体、明确的理念及核心思想，完全满足本项目的采购需求，总体思路清晰，符合当地实际，具有较强的可行性得10分；</w:t>
            </w:r>
          </w:p>
          <w:p w14:paraId="32C27833">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方案有针对性，根据项目需求情况提出较详细、较具体、较明确的服务理念及核心思想，满足本项目的采购需求，总体思路清晰，符合当地实际得7分；</w:t>
            </w:r>
          </w:p>
          <w:p w14:paraId="05DE65A1">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方案一般，但基本能符合项目需求，有提出服务理念及核心思想，基本满足本项目的采购需求，符合当地实际得4分；</w:t>
            </w:r>
          </w:p>
          <w:p w14:paraId="3A9ED7E3">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方案较为简单，不全面的，得1分；</w:t>
            </w:r>
          </w:p>
          <w:p w14:paraId="4FD36B90">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2334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76" w:hRule="atLeast"/>
        </w:trPr>
        <w:tc>
          <w:tcPr>
            <w:tcW w:w="1203" w:type="dxa"/>
            <w:vMerge w:val="continue"/>
            <w:tcBorders>
              <w:left w:val="single" w:color="auto" w:sz="4" w:space="0"/>
              <w:right w:val="single" w:color="auto" w:sz="4" w:space="0"/>
            </w:tcBorders>
            <w:noWrap w:val="0"/>
            <w:vAlign w:val="center"/>
          </w:tcPr>
          <w:p w14:paraId="36A84C1B">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483DF4C9">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项目工作计划</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698751A0">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10分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68828226">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工作计划和保障措施合理、具体，内容详细，有明确规划项目的编制深度、成果内容及规划编制进度安排规划成果汇报重要节点，能满足各阶段的进度要求，具有针对性，工作方法选择得当，可操作性强的，后续服务承诺全面周到的得10分；</w:t>
            </w:r>
          </w:p>
          <w:p w14:paraId="05E7DDFB">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工作计划和保障措施较合理，符合项目需求，具有针对性，方案内容较详细，工作方法选择较得当，可操作性较强的，有个别细节需要进一步完善或提高，得7分；</w:t>
            </w:r>
          </w:p>
          <w:p w14:paraId="3E567B7D">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工作计划和保障措施合理，能满足项目需求，计划和措施需完善，工作方法可操作性一般，得4分；</w:t>
            </w:r>
          </w:p>
          <w:p w14:paraId="3933734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有相应的工作计划和保障措施，但计划和措施一般，工作方法选择不准确，可操控性差的，有很多方面需要进一步完善甚至重新考虑，得1分；</w:t>
            </w:r>
          </w:p>
          <w:p w14:paraId="47D20AB9">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r w14:paraId="2507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7" w:hRule="atLeast"/>
        </w:trPr>
        <w:tc>
          <w:tcPr>
            <w:tcW w:w="1203" w:type="dxa"/>
            <w:vMerge w:val="continue"/>
            <w:tcBorders>
              <w:left w:val="single" w:color="auto" w:sz="4" w:space="0"/>
              <w:right w:val="single" w:color="auto" w:sz="4" w:space="0"/>
            </w:tcBorders>
            <w:noWrap w:val="0"/>
            <w:vAlign w:val="center"/>
          </w:tcPr>
          <w:p w14:paraId="4B219BDF">
            <w:pPr>
              <w:jc w:val="center"/>
              <w:rPr>
                <w:rFonts w:hint="eastAsia" w:ascii="宋体" w:hAnsi="宋体" w:cs="宋体"/>
                <w:color w:val="auto"/>
                <w:sz w:val="24"/>
                <w:szCs w:val="24"/>
                <w:highlight w:val="none"/>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14:paraId="6E2C352E">
            <w:pPr>
              <w:keepNext w:val="0"/>
              <w:keepLines w:val="0"/>
              <w:pageBreakBefore w:val="0"/>
              <w:kinsoku/>
              <w:wordWrap/>
              <w:overflowPunct/>
              <w:topLinePunct w:val="0"/>
              <w:autoSpaceDE/>
              <w:autoSpaceDN/>
              <w:bidi w:val="0"/>
              <w:spacing w:line="240" w:lineRule="auto"/>
              <w:ind w:left="0" w:right="0"/>
              <w:jc w:val="center"/>
              <w:rPr>
                <w:rFonts w:hint="eastAsia" w:ascii="宋体" w:hAnsi="宋体" w:cs="宋体"/>
                <w:color w:val="auto"/>
                <w:sz w:val="24"/>
                <w:szCs w:val="24"/>
                <w:highlight w:val="none"/>
              </w:rPr>
            </w:pPr>
            <w:r>
              <w:rPr>
                <w:rFonts w:hint="eastAsia" w:ascii="宋体" w:hAnsi="宋体" w:eastAsia="宋体" w:cs="宋体"/>
                <w:bCs/>
                <w:color w:val="auto"/>
                <w:kern w:val="2"/>
                <w:sz w:val="24"/>
                <w:szCs w:val="24"/>
                <w:highlight w:val="none"/>
                <w:shd w:val="clear" w:color="auto" w:fill="FFFFFF"/>
                <w:lang w:val="en-US" w:eastAsia="zh-CN" w:bidi="ar-SA"/>
              </w:rPr>
              <w:t>项目技术保障</w:t>
            </w:r>
          </w:p>
        </w:tc>
        <w:tc>
          <w:tcPr>
            <w:tcW w:w="897" w:type="dxa"/>
            <w:tcBorders>
              <w:top w:val="single" w:color="auto" w:sz="4" w:space="0"/>
              <w:left w:val="single" w:color="auto" w:sz="4" w:space="0"/>
              <w:bottom w:val="single" w:color="auto" w:sz="4" w:space="0"/>
              <w:right w:val="single" w:color="auto" w:sz="4" w:space="0"/>
            </w:tcBorders>
            <w:noWrap w:val="0"/>
            <w:vAlign w:val="center"/>
          </w:tcPr>
          <w:p w14:paraId="1C735E97">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jc w:val="center"/>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5分</w:t>
            </w:r>
          </w:p>
        </w:tc>
        <w:tc>
          <w:tcPr>
            <w:tcW w:w="6285" w:type="dxa"/>
            <w:tcBorders>
              <w:top w:val="single" w:color="auto" w:sz="4" w:space="0"/>
              <w:left w:val="single" w:color="auto" w:sz="4" w:space="0"/>
              <w:bottom w:val="single" w:color="auto" w:sz="4" w:space="0"/>
              <w:right w:val="single" w:color="auto" w:sz="4" w:space="0"/>
            </w:tcBorders>
            <w:noWrap w:val="0"/>
            <w:vAlign w:val="top"/>
          </w:tcPr>
          <w:p w14:paraId="4352BA94">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为能够保障项目的顺利完成，对供应商拟投入本项目的技术人员力量、设施设备情况等进行综合评分；</w:t>
            </w:r>
          </w:p>
          <w:p w14:paraId="0B615995">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人员安排合理、准确、岗位职责、员工管理与培训制度全面、详细、拟投入设施设备合理、可行的得5分；</w:t>
            </w:r>
          </w:p>
          <w:p w14:paraId="72F2348A">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人员安排、岗位职责、员工管理与培训制度满足项目需求且合理、拟投入设施设备 可行的得3分；</w:t>
            </w:r>
          </w:p>
          <w:p w14:paraId="667AEB45">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人员安排、岗位职责、员工管理与培训制度较简单但基本满足项目需求的得1分；</w:t>
            </w:r>
          </w:p>
          <w:p w14:paraId="446170C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响应人未提供相关方案或相关方案不合理、不可行的得1分；</w:t>
            </w:r>
          </w:p>
          <w:p w14:paraId="5DBA2C4E">
            <w:pPr>
              <w:pStyle w:val="17"/>
              <w:keepNext w:val="0"/>
              <w:keepLines w:val="0"/>
              <w:pageBreakBefore w:val="0"/>
              <w:widowControl w:val="0"/>
              <w:kinsoku/>
              <w:wordWrap/>
              <w:overflowPunct/>
              <w:topLinePunct w:val="0"/>
              <w:autoSpaceDE/>
              <w:autoSpaceDN/>
              <w:bidi w:val="0"/>
              <w:adjustRightInd/>
              <w:snapToGrid w:val="0"/>
              <w:spacing w:after="0" w:line="440" w:lineRule="exact"/>
              <w:ind w:left="0" w:leftChars="0" w:firstLine="0" w:firstLineChars="0"/>
              <w:textAlignment w:val="auto"/>
              <w:rPr>
                <w:rFonts w:hint="eastAsia" w:ascii="宋体" w:hAnsi="宋体" w:eastAsia="宋体" w:cs="宋体"/>
                <w:bCs/>
                <w:color w:val="auto"/>
                <w:kern w:val="2"/>
                <w:sz w:val="24"/>
                <w:szCs w:val="24"/>
                <w:highlight w:val="none"/>
                <w:shd w:val="clear" w:color="auto" w:fill="FFFFFF"/>
                <w:lang w:val="en-US" w:eastAsia="zh-CN" w:bidi="ar-SA"/>
              </w:rPr>
            </w:pPr>
            <w:r>
              <w:rPr>
                <w:rFonts w:hint="eastAsia" w:ascii="宋体" w:hAnsi="宋体" w:eastAsia="宋体" w:cs="宋体"/>
                <w:bCs/>
                <w:color w:val="auto"/>
                <w:kern w:val="2"/>
                <w:sz w:val="24"/>
                <w:szCs w:val="24"/>
                <w:highlight w:val="none"/>
                <w:shd w:val="clear" w:color="auto" w:fill="FFFFFF"/>
                <w:lang w:val="en-US" w:eastAsia="zh-CN" w:bidi="ar-SA"/>
              </w:rPr>
              <w:t>响应人未提供的不得分。</w:t>
            </w:r>
          </w:p>
        </w:tc>
      </w:tr>
    </w:tbl>
    <w:p w14:paraId="212A7ABE">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Calibri" w:hAnsi="Calibri"/>
          <w:b/>
          <w:bCs/>
          <w:color w:val="auto"/>
          <w:sz w:val="24"/>
          <w:szCs w:val="24"/>
          <w:highlight w:val="none"/>
        </w:rPr>
      </w:pPr>
      <w:r>
        <w:rPr>
          <w:rFonts w:hint="eastAsia" w:ascii="Calibri" w:hAnsi="Calibri"/>
          <w:b/>
          <w:bCs/>
          <w:color w:val="auto"/>
          <w:sz w:val="24"/>
          <w:szCs w:val="24"/>
          <w:highlight w:val="none"/>
        </w:rPr>
        <w:t>评标打分部分：</w:t>
      </w:r>
    </w:p>
    <w:p w14:paraId="7EDCF903">
      <w:pPr>
        <w:keepNext w:val="0"/>
        <w:keepLines w:val="0"/>
        <w:pageBreakBefore w:val="0"/>
        <w:widowControl/>
        <w:numPr>
          <w:ilvl w:val="0"/>
          <w:numId w:val="3"/>
        </w:numPr>
        <w:kinsoku/>
        <w:wordWrap/>
        <w:overflowPunct/>
        <w:topLinePunct w:val="0"/>
        <w:autoSpaceDE/>
        <w:autoSpaceDN/>
        <w:bidi w:val="0"/>
        <w:adjustRightInd/>
        <w:snapToGrid/>
        <w:spacing w:line="440" w:lineRule="exact"/>
        <w:ind w:firstLine="482" w:firstLineChars="200"/>
        <w:jc w:val="left"/>
        <w:textAlignment w:val="auto"/>
        <w:rPr>
          <w:rFonts w:hint="eastAsia" w:ascii="Calibri" w:hAnsi="Calibri"/>
          <w:b/>
          <w:bCs/>
          <w:color w:val="auto"/>
          <w:sz w:val="24"/>
          <w:szCs w:val="24"/>
          <w:highlight w:val="none"/>
        </w:rPr>
      </w:pPr>
      <w:r>
        <w:rPr>
          <w:rFonts w:hint="eastAsia" w:ascii="Calibri" w:hAnsi="Calibri"/>
          <w:b/>
          <w:bCs/>
          <w:color w:val="auto"/>
          <w:sz w:val="24"/>
          <w:szCs w:val="24"/>
          <w:highlight w:val="none"/>
        </w:rPr>
        <w:t>评标打分部分仍按照100分制原则进行，涉及到资格审查、企业荣誉、人员业绩、企业业绩等计分部分时，以</w:t>
      </w:r>
      <w:r>
        <w:rPr>
          <w:rFonts w:hint="eastAsia" w:ascii="Calibri" w:hAnsi="Calibri"/>
          <w:b/>
          <w:bCs/>
          <w:color w:val="auto"/>
          <w:sz w:val="24"/>
          <w:szCs w:val="24"/>
          <w:highlight w:val="none"/>
          <w:lang w:val="en-US" w:eastAsia="zh-CN"/>
        </w:rPr>
        <w:t>响应</w:t>
      </w:r>
      <w:r>
        <w:rPr>
          <w:rFonts w:hint="eastAsia" w:ascii="Calibri" w:hAnsi="Calibri"/>
          <w:b/>
          <w:bCs/>
          <w:color w:val="auto"/>
          <w:sz w:val="24"/>
          <w:szCs w:val="24"/>
          <w:highlight w:val="none"/>
        </w:rPr>
        <w:t>单位自行上传到</w:t>
      </w:r>
      <w:r>
        <w:rPr>
          <w:rFonts w:hint="eastAsia" w:ascii="Calibri" w:hAnsi="Calibri"/>
          <w:b/>
          <w:bCs/>
          <w:color w:val="auto"/>
          <w:sz w:val="24"/>
          <w:szCs w:val="24"/>
          <w:highlight w:val="none"/>
          <w:lang w:eastAsia="zh-CN"/>
        </w:rPr>
        <w:t>响应文件</w:t>
      </w:r>
      <w:r>
        <w:rPr>
          <w:rFonts w:hint="eastAsia" w:ascii="Calibri" w:hAnsi="Calibri"/>
          <w:b/>
          <w:bCs/>
          <w:color w:val="auto"/>
          <w:sz w:val="24"/>
          <w:szCs w:val="24"/>
          <w:highlight w:val="none"/>
        </w:rPr>
        <w:t>中的相应内容为准。</w:t>
      </w:r>
    </w:p>
    <w:p w14:paraId="09C122D1">
      <w:pPr>
        <w:keepNext w:val="0"/>
        <w:keepLines w:val="0"/>
        <w:pageBreakBefore w:val="0"/>
        <w:widowControl/>
        <w:numPr>
          <w:ilvl w:val="0"/>
          <w:numId w:val="3"/>
        </w:numPr>
        <w:kinsoku/>
        <w:wordWrap/>
        <w:overflowPunct/>
        <w:topLinePunct w:val="0"/>
        <w:autoSpaceDE/>
        <w:autoSpaceDN/>
        <w:bidi w:val="0"/>
        <w:adjustRightInd/>
        <w:snapToGrid/>
        <w:spacing w:line="440" w:lineRule="exact"/>
        <w:ind w:firstLine="482" w:firstLineChars="200"/>
        <w:jc w:val="left"/>
        <w:textAlignment w:val="auto"/>
        <w:outlineLvl w:val="1"/>
        <w:rPr>
          <w:b/>
          <w:bCs/>
          <w:color w:val="auto"/>
          <w:sz w:val="24"/>
          <w:szCs w:val="24"/>
          <w:highlight w:val="none"/>
        </w:rPr>
      </w:pPr>
      <w:bookmarkStart w:id="214" w:name="_Toc4701"/>
      <w:bookmarkStart w:id="215" w:name="_Toc20358"/>
      <w:bookmarkStart w:id="216" w:name="_Toc17338"/>
      <w:bookmarkStart w:id="217" w:name="_Toc22408"/>
      <w:r>
        <w:rPr>
          <w:rFonts w:hint="eastAsia" w:ascii="宋体" w:hAnsi="宋体" w:cs="宋体"/>
          <w:b/>
          <w:bCs/>
          <w:color w:val="auto"/>
          <w:sz w:val="24"/>
          <w:szCs w:val="24"/>
          <w:highlight w:val="none"/>
        </w:rPr>
        <w:t>以上项目若有缺项的，该项为0分；不缺项的，不低于最低分。</w:t>
      </w:r>
      <w:bookmarkEnd w:id="214"/>
      <w:bookmarkEnd w:id="215"/>
      <w:bookmarkEnd w:id="216"/>
      <w:bookmarkEnd w:id="217"/>
    </w:p>
    <w:p w14:paraId="3E967686">
      <w:pPr>
        <w:keepNext w:val="0"/>
        <w:keepLines w:val="0"/>
        <w:pageBreakBefore w:val="0"/>
        <w:widowControl/>
        <w:numPr>
          <w:ilvl w:val="0"/>
          <w:numId w:val="3"/>
        </w:numPr>
        <w:kinsoku/>
        <w:wordWrap/>
        <w:overflowPunct/>
        <w:topLinePunct w:val="0"/>
        <w:autoSpaceDE/>
        <w:autoSpaceDN/>
        <w:bidi w:val="0"/>
        <w:adjustRightInd/>
        <w:snapToGrid/>
        <w:spacing w:line="440" w:lineRule="exact"/>
        <w:ind w:firstLine="482" w:firstLineChars="200"/>
        <w:jc w:val="left"/>
        <w:textAlignment w:val="auto"/>
        <w:rPr>
          <w:b/>
          <w:bCs/>
          <w:color w:val="auto"/>
          <w:sz w:val="24"/>
          <w:szCs w:val="24"/>
          <w:highlight w:val="none"/>
        </w:rPr>
      </w:pPr>
      <w:r>
        <w:rPr>
          <w:rFonts w:hAnsi="宋体" w:cs="宋体"/>
          <w:b/>
          <w:bCs/>
          <w:color w:val="auto"/>
          <w:sz w:val="24"/>
          <w:szCs w:val="24"/>
          <w:highlight w:val="none"/>
          <w:lang w:bidi="ar"/>
        </w:rPr>
        <w:t>本评标办法在计算数据过程中，均保留两位小数，按四舍五入计算</w:t>
      </w:r>
      <w:r>
        <w:rPr>
          <w:rFonts w:hint="eastAsia" w:hAnsi="宋体" w:cs="宋体"/>
          <w:b/>
          <w:bCs/>
          <w:color w:val="auto"/>
          <w:sz w:val="24"/>
          <w:szCs w:val="24"/>
          <w:highlight w:val="none"/>
          <w:lang w:eastAsia="zh-CN" w:bidi="ar"/>
        </w:rPr>
        <w:t>（</w:t>
      </w:r>
      <w:r>
        <w:rPr>
          <w:rFonts w:hAnsi="宋体" w:cs="宋体"/>
          <w:b/>
          <w:bCs/>
          <w:color w:val="auto"/>
          <w:sz w:val="24"/>
          <w:szCs w:val="24"/>
          <w:highlight w:val="none"/>
          <w:lang w:bidi="ar"/>
        </w:rPr>
        <w:t>注：当</w:t>
      </w:r>
      <w:r>
        <w:rPr>
          <w:rFonts w:hint="eastAsia" w:hAnsi="宋体" w:cs="宋体"/>
          <w:b/>
          <w:bCs/>
          <w:color w:val="auto"/>
          <w:sz w:val="24"/>
          <w:szCs w:val="24"/>
          <w:highlight w:val="none"/>
          <w:lang w:bidi="ar"/>
        </w:rPr>
        <w:t>响应人</w:t>
      </w:r>
      <w:r>
        <w:rPr>
          <w:rFonts w:hAnsi="宋体" w:cs="宋体"/>
          <w:b/>
          <w:bCs/>
          <w:color w:val="auto"/>
          <w:sz w:val="24"/>
          <w:szCs w:val="24"/>
          <w:highlight w:val="none"/>
          <w:lang w:bidi="ar"/>
        </w:rPr>
        <w:t>的总得分相等时，</w:t>
      </w:r>
      <w:r>
        <w:rPr>
          <w:rFonts w:hint="eastAsia" w:hAnsi="宋体" w:cs="宋体"/>
          <w:b/>
          <w:bCs/>
          <w:color w:val="auto"/>
          <w:sz w:val="24"/>
          <w:szCs w:val="24"/>
          <w:highlight w:val="none"/>
          <w:lang w:val="en-US" w:eastAsia="zh-CN" w:bidi="ar"/>
        </w:rPr>
        <w:t>响应</w:t>
      </w:r>
      <w:r>
        <w:rPr>
          <w:rFonts w:hAnsi="宋体" w:cs="宋体"/>
          <w:b/>
          <w:bCs/>
          <w:color w:val="auto"/>
          <w:sz w:val="24"/>
          <w:szCs w:val="24"/>
          <w:highlight w:val="none"/>
          <w:lang w:bidi="ar"/>
        </w:rPr>
        <w:t>报价低者排序在前）。</w:t>
      </w:r>
    </w:p>
    <w:p w14:paraId="2E20FBCC">
      <w:pPr>
        <w:snapToGrid w:val="0"/>
        <w:spacing w:line="360" w:lineRule="auto"/>
        <w:jc w:val="center"/>
        <w:outlineLvl w:val="0"/>
        <w:rPr>
          <w:rFonts w:hint="eastAsia"/>
          <w:b/>
          <w:bCs/>
          <w:color w:val="auto"/>
          <w:sz w:val="36"/>
          <w:szCs w:val="36"/>
          <w:highlight w:val="none"/>
        </w:rPr>
      </w:pPr>
      <w:r>
        <w:rPr>
          <w:rFonts w:ascii="宋体" w:hAnsi="宋体" w:cs="宋体"/>
          <w:b/>
          <w:bCs/>
          <w:color w:val="auto"/>
          <w:sz w:val="36"/>
          <w:szCs w:val="36"/>
          <w:highlight w:val="none"/>
        </w:rPr>
        <w:br w:type="page"/>
      </w:r>
      <w:bookmarkStart w:id="218" w:name="_Toc30011"/>
      <w:bookmarkStart w:id="219" w:name="_Toc23739"/>
      <w:bookmarkStart w:id="220" w:name="_Toc23435"/>
      <w:bookmarkStart w:id="221" w:name="_Toc22878"/>
      <w:bookmarkStart w:id="222" w:name="_Toc26270"/>
      <w:r>
        <w:rPr>
          <w:rFonts w:hint="eastAsia"/>
          <w:b/>
          <w:bCs/>
          <w:color w:val="auto"/>
          <w:sz w:val="36"/>
          <w:szCs w:val="36"/>
          <w:highlight w:val="none"/>
        </w:rPr>
        <w:t>第四章  合同条款及格式</w:t>
      </w:r>
      <w:bookmarkEnd w:id="218"/>
      <w:bookmarkEnd w:id="219"/>
      <w:bookmarkEnd w:id="220"/>
      <w:bookmarkEnd w:id="221"/>
      <w:bookmarkEnd w:id="222"/>
      <w:bookmarkStart w:id="223" w:name="_Toc7548"/>
    </w:p>
    <w:bookmarkEnd w:id="223"/>
    <w:p w14:paraId="44126B34">
      <w:pPr>
        <w:jc w:val="center"/>
        <w:rPr>
          <w:rFonts w:ascii="宋体" w:hAnsi="宋体"/>
          <w:color w:val="auto"/>
          <w:kern w:val="0"/>
          <w:sz w:val="32"/>
          <w:szCs w:val="32"/>
          <w:highlight w:val="none"/>
        </w:rPr>
      </w:pPr>
      <w:r>
        <w:rPr>
          <w:rFonts w:hint="eastAsia" w:ascii="宋体" w:hAnsi="宋体"/>
          <w:color w:val="auto"/>
          <w:sz w:val="30"/>
          <w:szCs w:val="30"/>
          <w:highlight w:val="none"/>
          <w:lang w:eastAsia="zh-CN"/>
        </w:rPr>
        <w:t>（</w:t>
      </w:r>
      <w:r>
        <w:rPr>
          <w:rFonts w:hint="eastAsia" w:ascii="宋体" w:hAnsi="宋体"/>
          <w:color w:val="auto"/>
          <w:sz w:val="30"/>
          <w:szCs w:val="30"/>
          <w:highlight w:val="none"/>
          <w:lang w:val="en-US" w:eastAsia="zh-CN"/>
        </w:rPr>
        <w:t>成交后自行协商</w:t>
      </w:r>
      <w:r>
        <w:rPr>
          <w:rFonts w:hint="eastAsia" w:ascii="宋体" w:hAnsi="宋体"/>
          <w:color w:val="auto"/>
          <w:sz w:val="30"/>
          <w:szCs w:val="30"/>
          <w:highlight w:val="none"/>
        </w:rPr>
        <w:t>）</w:t>
      </w:r>
      <w:bookmarkStart w:id="224" w:name="_Toc14834"/>
    </w:p>
    <w:p w14:paraId="0D889893">
      <w:pPr>
        <w:rPr>
          <w:rFonts w:hint="eastAsia"/>
          <w:color w:val="auto"/>
          <w:highlight w:val="none"/>
        </w:rPr>
      </w:pPr>
      <w:bookmarkStart w:id="225" w:name="_Toc1321"/>
      <w:bookmarkStart w:id="226" w:name="_Toc29926"/>
      <w:bookmarkStart w:id="227" w:name="_Toc373253032"/>
    </w:p>
    <w:p w14:paraId="5E861CD0">
      <w:pPr>
        <w:rPr>
          <w:rFonts w:hint="eastAsia"/>
          <w:color w:val="auto"/>
          <w:highlight w:val="none"/>
        </w:rPr>
      </w:pPr>
    </w:p>
    <w:bookmarkEnd w:id="225"/>
    <w:bookmarkEnd w:id="226"/>
    <w:bookmarkEnd w:id="227"/>
    <w:p w14:paraId="0351FC2F">
      <w:pPr>
        <w:rPr>
          <w:rFonts w:hint="eastAsia"/>
          <w:b/>
          <w:bCs/>
          <w:color w:val="auto"/>
          <w:sz w:val="36"/>
          <w:szCs w:val="36"/>
          <w:highlight w:val="none"/>
        </w:rPr>
      </w:pPr>
      <w:bookmarkStart w:id="228" w:name="_Toc29787"/>
      <w:bookmarkStart w:id="229" w:name="_Toc914"/>
      <w:bookmarkStart w:id="230" w:name="_Toc17708"/>
      <w:bookmarkStart w:id="231" w:name="_Toc30898"/>
      <w:r>
        <w:rPr>
          <w:rFonts w:hint="eastAsia"/>
          <w:b/>
          <w:bCs/>
          <w:color w:val="auto"/>
          <w:sz w:val="36"/>
          <w:szCs w:val="36"/>
          <w:highlight w:val="none"/>
        </w:rPr>
        <w:br w:type="page"/>
      </w:r>
    </w:p>
    <w:p w14:paraId="09EBC7BA">
      <w:pPr>
        <w:adjustRightInd w:val="0"/>
        <w:snapToGrid w:val="0"/>
        <w:spacing w:line="360" w:lineRule="auto"/>
        <w:jc w:val="center"/>
        <w:outlineLvl w:val="0"/>
        <w:rPr>
          <w:rFonts w:hint="eastAsia"/>
          <w:b/>
          <w:bCs/>
          <w:color w:val="auto"/>
          <w:sz w:val="36"/>
          <w:szCs w:val="36"/>
          <w:highlight w:val="none"/>
        </w:rPr>
      </w:pPr>
      <w:r>
        <w:rPr>
          <w:rFonts w:hint="eastAsia"/>
          <w:b/>
          <w:bCs/>
          <w:color w:val="auto"/>
          <w:sz w:val="36"/>
          <w:szCs w:val="36"/>
          <w:highlight w:val="none"/>
        </w:rPr>
        <w:t xml:space="preserve">第五章   </w:t>
      </w:r>
      <w:bookmarkEnd w:id="224"/>
      <w:r>
        <w:rPr>
          <w:rFonts w:hint="eastAsia"/>
          <w:b/>
          <w:bCs/>
          <w:color w:val="auto"/>
          <w:sz w:val="36"/>
          <w:szCs w:val="36"/>
          <w:highlight w:val="none"/>
        </w:rPr>
        <w:t>技术要求</w:t>
      </w:r>
      <w:bookmarkEnd w:id="228"/>
      <w:bookmarkEnd w:id="229"/>
      <w:bookmarkEnd w:id="230"/>
      <w:bookmarkEnd w:id="231"/>
    </w:p>
    <w:p w14:paraId="77F88958">
      <w:pPr>
        <w:spacing w:line="360" w:lineRule="auto"/>
        <w:ind w:firstLine="410" w:firstLineChars="171"/>
        <w:rPr>
          <w:rFonts w:hint="eastAsia"/>
          <w:color w:val="auto"/>
          <w:sz w:val="24"/>
          <w:szCs w:val="24"/>
          <w:highlight w:val="none"/>
        </w:rPr>
      </w:pPr>
      <w:bookmarkStart w:id="232" w:name="_Toc30510"/>
      <w:bookmarkStart w:id="233" w:name="_Toc29804"/>
      <w:bookmarkStart w:id="234" w:name="_Toc2031"/>
      <w:bookmarkStart w:id="235" w:name="_Toc8339"/>
      <w:r>
        <w:rPr>
          <w:rFonts w:hint="eastAsia"/>
          <w:color w:val="auto"/>
          <w:sz w:val="24"/>
          <w:szCs w:val="24"/>
          <w:highlight w:val="none"/>
        </w:rPr>
        <w:t>一、</w:t>
      </w:r>
      <w:bookmarkEnd w:id="232"/>
      <w:bookmarkEnd w:id="233"/>
      <w:bookmarkEnd w:id="234"/>
      <w:bookmarkEnd w:id="235"/>
      <w:r>
        <w:rPr>
          <w:rFonts w:hint="eastAsia"/>
          <w:color w:val="auto"/>
          <w:sz w:val="24"/>
          <w:szCs w:val="24"/>
          <w:highlight w:val="none"/>
        </w:rPr>
        <w:t>项目概况</w:t>
      </w:r>
    </w:p>
    <w:p w14:paraId="3ED7B6C5">
      <w:pPr>
        <w:spacing w:line="360" w:lineRule="auto"/>
        <w:ind w:firstLine="410" w:firstLineChars="171"/>
        <w:rPr>
          <w:rFonts w:hint="eastAsia"/>
          <w:color w:val="auto"/>
          <w:sz w:val="24"/>
          <w:szCs w:val="24"/>
          <w:highlight w:val="none"/>
        </w:rPr>
      </w:pPr>
      <w:r>
        <w:rPr>
          <w:rFonts w:hint="eastAsia"/>
          <w:color w:val="auto"/>
          <w:sz w:val="24"/>
          <w:szCs w:val="24"/>
          <w:highlight w:val="none"/>
          <w:lang w:val="en-US" w:eastAsia="zh-CN"/>
        </w:rPr>
        <w:t>灵宝市“十五五”规划编制项目</w:t>
      </w:r>
    </w:p>
    <w:p w14:paraId="0849204B">
      <w:pPr>
        <w:spacing w:line="360" w:lineRule="auto"/>
        <w:ind w:firstLine="410" w:firstLineChars="171"/>
        <w:rPr>
          <w:rFonts w:hint="eastAsia"/>
          <w:color w:val="auto"/>
          <w:sz w:val="24"/>
          <w:szCs w:val="24"/>
          <w:highlight w:val="none"/>
        </w:rPr>
      </w:pPr>
      <w:r>
        <w:rPr>
          <w:rFonts w:hint="eastAsia"/>
          <w:color w:val="auto"/>
          <w:sz w:val="24"/>
          <w:szCs w:val="24"/>
          <w:highlight w:val="none"/>
        </w:rPr>
        <w:t>二、服务内容</w:t>
      </w:r>
    </w:p>
    <w:p w14:paraId="03DD55B0">
      <w:pPr>
        <w:spacing w:line="360" w:lineRule="auto"/>
        <w:ind w:firstLine="410" w:firstLineChars="171"/>
        <w:rPr>
          <w:rFonts w:hint="eastAsia"/>
          <w:color w:val="auto"/>
          <w:sz w:val="24"/>
          <w:szCs w:val="24"/>
          <w:highlight w:val="none"/>
        </w:rPr>
      </w:pPr>
      <w:r>
        <w:rPr>
          <w:rFonts w:hint="eastAsia"/>
          <w:color w:val="auto"/>
          <w:sz w:val="24"/>
          <w:szCs w:val="24"/>
          <w:highlight w:val="none"/>
        </w:rPr>
        <w:t>编制完成《</w:t>
      </w:r>
      <w:r>
        <w:rPr>
          <w:rFonts w:hint="eastAsia"/>
          <w:color w:val="auto"/>
          <w:sz w:val="24"/>
          <w:szCs w:val="24"/>
          <w:highlight w:val="none"/>
          <w:lang w:val="en-US" w:eastAsia="zh-CN"/>
        </w:rPr>
        <w:t>灵宝</w:t>
      </w:r>
      <w:r>
        <w:rPr>
          <w:rFonts w:hint="eastAsia"/>
          <w:color w:val="auto"/>
          <w:sz w:val="24"/>
          <w:szCs w:val="24"/>
          <w:highlight w:val="none"/>
        </w:rPr>
        <w:t>市国民经济和社会发展第十五个五年规划纲要》，包括专题研究报告、“十五五”纲要成果、“十五五”中期评估等内容。具体要求：</w:t>
      </w:r>
    </w:p>
    <w:p w14:paraId="5C563DA2">
      <w:pPr>
        <w:spacing w:line="360" w:lineRule="auto"/>
        <w:ind w:firstLine="410" w:firstLineChars="171"/>
        <w:rPr>
          <w:rFonts w:hint="eastAsia"/>
          <w:color w:val="auto"/>
          <w:sz w:val="24"/>
          <w:szCs w:val="24"/>
          <w:highlight w:val="none"/>
        </w:rPr>
      </w:pPr>
      <w:r>
        <w:rPr>
          <w:rFonts w:hint="eastAsia"/>
          <w:color w:val="auto"/>
          <w:sz w:val="24"/>
          <w:szCs w:val="24"/>
          <w:highlight w:val="none"/>
        </w:rPr>
        <w:t>1、2025年</w:t>
      </w:r>
      <w:r>
        <w:rPr>
          <w:rFonts w:hint="eastAsia"/>
          <w:color w:val="auto"/>
          <w:sz w:val="24"/>
          <w:szCs w:val="24"/>
          <w:highlight w:val="none"/>
          <w:lang w:val="en-US" w:eastAsia="zh-CN"/>
        </w:rPr>
        <w:t>6</w:t>
      </w:r>
      <w:r>
        <w:rPr>
          <w:rFonts w:hint="eastAsia"/>
          <w:color w:val="auto"/>
          <w:sz w:val="24"/>
          <w:szCs w:val="24"/>
          <w:highlight w:val="none"/>
        </w:rPr>
        <w:t>月底前，完成</w:t>
      </w:r>
      <w:r>
        <w:rPr>
          <w:rFonts w:hint="eastAsia"/>
          <w:color w:val="auto"/>
          <w:sz w:val="24"/>
          <w:szCs w:val="24"/>
          <w:highlight w:val="none"/>
          <w:lang w:eastAsia="zh-CN"/>
        </w:rPr>
        <w:t>灵宝市</w:t>
      </w:r>
      <w:r>
        <w:rPr>
          <w:rFonts w:hint="eastAsia"/>
          <w:color w:val="auto"/>
          <w:sz w:val="24"/>
          <w:szCs w:val="24"/>
          <w:highlight w:val="none"/>
        </w:rPr>
        <w:t>“十五五”规划基本思路。</w:t>
      </w:r>
    </w:p>
    <w:p w14:paraId="52814F8F">
      <w:pPr>
        <w:spacing w:line="360" w:lineRule="auto"/>
        <w:ind w:firstLine="410" w:firstLineChars="171"/>
        <w:rPr>
          <w:rFonts w:hint="eastAsia"/>
          <w:color w:val="auto"/>
          <w:sz w:val="24"/>
          <w:szCs w:val="24"/>
          <w:highlight w:val="none"/>
        </w:rPr>
      </w:pPr>
      <w:r>
        <w:rPr>
          <w:rFonts w:hint="eastAsia"/>
          <w:color w:val="auto"/>
          <w:sz w:val="24"/>
          <w:szCs w:val="24"/>
          <w:highlight w:val="none"/>
        </w:rPr>
        <w:t>2、2025年</w:t>
      </w:r>
      <w:r>
        <w:rPr>
          <w:rFonts w:hint="eastAsia"/>
          <w:color w:val="auto"/>
          <w:sz w:val="24"/>
          <w:szCs w:val="24"/>
          <w:highlight w:val="none"/>
          <w:lang w:val="en-US" w:eastAsia="zh-CN"/>
        </w:rPr>
        <w:t>8</w:t>
      </w:r>
      <w:r>
        <w:rPr>
          <w:rFonts w:hint="eastAsia"/>
          <w:color w:val="auto"/>
          <w:sz w:val="24"/>
          <w:szCs w:val="24"/>
          <w:highlight w:val="none"/>
        </w:rPr>
        <w:t>月底前，完成</w:t>
      </w:r>
      <w:r>
        <w:rPr>
          <w:rFonts w:hint="eastAsia"/>
          <w:color w:val="auto"/>
          <w:sz w:val="24"/>
          <w:szCs w:val="24"/>
          <w:highlight w:val="none"/>
          <w:lang w:eastAsia="zh-CN"/>
        </w:rPr>
        <w:t>灵宝市</w:t>
      </w:r>
      <w:r>
        <w:rPr>
          <w:rFonts w:hint="eastAsia"/>
          <w:color w:val="auto"/>
          <w:sz w:val="24"/>
          <w:szCs w:val="24"/>
          <w:highlight w:val="none"/>
        </w:rPr>
        <w:t>“十五五”规划纲要（草案）。</w:t>
      </w:r>
    </w:p>
    <w:p w14:paraId="718F9D4D">
      <w:pPr>
        <w:spacing w:line="360" w:lineRule="auto"/>
        <w:ind w:firstLine="410" w:firstLineChars="171"/>
        <w:rPr>
          <w:rFonts w:hint="eastAsia"/>
          <w:color w:val="auto"/>
          <w:sz w:val="24"/>
          <w:szCs w:val="24"/>
          <w:highlight w:val="none"/>
        </w:rPr>
      </w:pPr>
      <w:r>
        <w:rPr>
          <w:rFonts w:hint="eastAsia"/>
          <w:color w:val="auto"/>
          <w:sz w:val="24"/>
          <w:szCs w:val="24"/>
          <w:highlight w:val="none"/>
        </w:rPr>
        <w:t>3、在广泛征求意见的基础上，2025年12月底前，最终完成《</w:t>
      </w:r>
      <w:r>
        <w:rPr>
          <w:rFonts w:hint="eastAsia"/>
          <w:color w:val="auto"/>
          <w:sz w:val="24"/>
          <w:szCs w:val="24"/>
          <w:highlight w:val="none"/>
          <w:lang w:eastAsia="zh-CN"/>
        </w:rPr>
        <w:t>灵宝市</w:t>
      </w:r>
      <w:r>
        <w:rPr>
          <w:rFonts w:hint="eastAsia"/>
          <w:color w:val="auto"/>
          <w:sz w:val="24"/>
          <w:szCs w:val="24"/>
          <w:highlight w:val="none"/>
        </w:rPr>
        <w:t>国民经济和社会发展第十五个五年规划纲要》。</w:t>
      </w:r>
    </w:p>
    <w:p w14:paraId="05361372">
      <w:pPr>
        <w:spacing w:line="360" w:lineRule="auto"/>
        <w:ind w:firstLine="410" w:firstLineChars="171"/>
        <w:rPr>
          <w:rFonts w:hint="eastAsia"/>
          <w:color w:val="auto"/>
          <w:sz w:val="24"/>
          <w:szCs w:val="24"/>
          <w:highlight w:val="none"/>
        </w:rPr>
      </w:pPr>
      <w:bookmarkStart w:id="236" w:name="_Toc1270"/>
      <w:bookmarkStart w:id="237" w:name="_Toc21676"/>
      <w:bookmarkStart w:id="238" w:name="_Toc15146"/>
      <w:bookmarkStart w:id="239" w:name="_Toc31883"/>
      <w:r>
        <w:rPr>
          <w:rFonts w:hint="eastAsia"/>
          <w:color w:val="auto"/>
          <w:sz w:val="24"/>
          <w:szCs w:val="24"/>
          <w:highlight w:val="none"/>
          <w:lang w:val="en-US" w:eastAsia="zh-CN"/>
        </w:rPr>
        <w:t>4</w:t>
      </w:r>
      <w:r>
        <w:rPr>
          <w:rFonts w:hint="eastAsia"/>
          <w:color w:val="auto"/>
          <w:sz w:val="24"/>
          <w:szCs w:val="24"/>
          <w:highlight w:val="none"/>
        </w:rPr>
        <w:t>、</w:t>
      </w:r>
      <w:r>
        <w:rPr>
          <w:rFonts w:hint="eastAsia"/>
          <w:color w:val="auto"/>
          <w:sz w:val="24"/>
          <w:szCs w:val="24"/>
          <w:highlight w:val="none"/>
          <w:lang w:val="en-US" w:eastAsia="zh-CN"/>
        </w:rPr>
        <w:t>2025年12月底前，完成关于制定</w:t>
      </w:r>
      <w:r>
        <w:rPr>
          <w:rFonts w:hint="eastAsia"/>
          <w:color w:val="auto"/>
          <w:sz w:val="24"/>
          <w:szCs w:val="24"/>
          <w:highlight w:val="none"/>
          <w:lang w:eastAsia="zh-CN"/>
        </w:rPr>
        <w:t>灵宝市</w:t>
      </w:r>
      <w:r>
        <w:rPr>
          <w:rFonts w:hint="eastAsia"/>
          <w:color w:val="auto"/>
          <w:sz w:val="24"/>
          <w:szCs w:val="24"/>
          <w:highlight w:val="none"/>
        </w:rPr>
        <w:t>“十五五”规划纲</w:t>
      </w:r>
      <w:r>
        <w:rPr>
          <w:rFonts w:hint="eastAsia"/>
          <w:color w:val="auto"/>
          <w:sz w:val="24"/>
          <w:szCs w:val="24"/>
          <w:highlight w:val="none"/>
          <w:lang w:eastAsia="zh-CN"/>
        </w:rPr>
        <w:t>要的建议。</w:t>
      </w:r>
    </w:p>
    <w:p w14:paraId="196E5938">
      <w:pPr>
        <w:spacing w:line="360" w:lineRule="auto"/>
        <w:ind w:firstLine="410" w:firstLineChars="171"/>
        <w:rPr>
          <w:rFonts w:hint="eastAsia"/>
          <w:color w:val="auto"/>
          <w:sz w:val="24"/>
          <w:szCs w:val="24"/>
          <w:highlight w:val="none"/>
        </w:rPr>
      </w:pPr>
      <w:r>
        <w:rPr>
          <w:rFonts w:hint="eastAsia"/>
          <w:color w:val="auto"/>
          <w:sz w:val="24"/>
          <w:szCs w:val="24"/>
          <w:highlight w:val="none"/>
          <w:lang w:val="en-US" w:eastAsia="zh-CN"/>
        </w:rPr>
        <w:t>5</w:t>
      </w:r>
      <w:r>
        <w:rPr>
          <w:rFonts w:hint="eastAsia"/>
          <w:color w:val="auto"/>
          <w:sz w:val="24"/>
          <w:szCs w:val="24"/>
          <w:highlight w:val="none"/>
        </w:rPr>
        <w:t>、在“十五五”规划编制过程中，同步开展专题研究报告编制。</w:t>
      </w:r>
    </w:p>
    <w:p w14:paraId="10A8AA18">
      <w:pPr>
        <w:spacing w:line="360" w:lineRule="auto"/>
        <w:ind w:firstLine="410" w:firstLineChars="171"/>
        <w:rPr>
          <w:rFonts w:hint="eastAsia" w:ascii="Times New Roman" w:hAnsi="Times New Roman" w:eastAsia="宋体" w:cs="Times New Roman"/>
          <w:color w:val="auto"/>
          <w:sz w:val="24"/>
          <w:szCs w:val="24"/>
          <w:highlight w:val="none"/>
          <w:lang w:val="en-US" w:eastAsia="zh-CN"/>
        </w:rPr>
      </w:pPr>
      <w:r>
        <w:rPr>
          <w:rFonts w:hint="eastAsia"/>
          <w:color w:val="auto"/>
          <w:sz w:val="24"/>
          <w:szCs w:val="24"/>
          <w:highlight w:val="none"/>
          <w:lang w:val="en-US" w:eastAsia="zh-CN"/>
        </w:rPr>
        <w:t>6</w:t>
      </w:r>
      <w:r>
        <w:rPr>
          <w:rFonts w:hint="eastAsia"/>
          <w:color w:val="auto"/>
          <w:sz w:val="24"/>
          <w:szCs w:val="24"/>
          <w:highlight w:val="none"/>
        </w:rPr>
        <w:t>、2028年12月底前，完成</w:t>
      </w:r>
      <w:r>
        <w:rPr>
          <w:rFonts w:hint="eastAsia"/>
          <w:color w:val="auto"/>
          <w:sz w:val="24"/>
          <w:szCs w:val="24"/>
          <w:highlight w:val="none"/>
          <w:lang w:eastAsia="zh-CN"/>
        </w:rPr>
        <w:t>灵宝市</w:t>
      </w:r>
      <w:r>
        <w:rPr>
          <w:rFonts w:hint="eastAsia"/>
          <w:color w:val="auto"/>
          <w:sz w:val="24"/>
          <w:szCs w:val="24"/>
          <w:highlight w:val="none"/>
        </w:rPr>
        <w:t>“十五五”中期评估</w:t>
      </w:r>
      <w:r>
        <w:rPr>
          <w:rFonts w:hint="eastAsia" w:ascii="Times New Roman" w:hAnsi="Times New Roman" w:eastAsia="宋体" w:cs="Times New Roman"/>
          <w:color w:val="auto"/>
          <w:sz w:val="24"/>
          <w:szCs w:val="24"/>
          <w:highlight w:val="none"/>
          <w:lang w:val="en-US" w:eastAsia="zh-CN"/>
        </w:rPr>
        <w:t>。</w:t>
      </w:r>
    </w:p>
    <w:p w14:paraId="694ED050">
      <w:pPr>
        <w:snapToGrid w:val="0"/>
        <w:spacing w:line="500" w:lineRule="exact"/>
        <w:jc w:val="center"/>
        <w:outlineLvl w:val="0"/>
        <w:rPr>
          <w:rFonts w:hint="eastAsia"/>
          <w:b/>
          <w:bCs/>
          <w:color w:val="auto"/>
          <w:sz w:val="36"/>
          <w:szCs w:val="36"/>
          <w:highlight w:val="none"/>
        </w:rPr>
      </w:pPr>
      <w:r>
        <w:rPr>
          <w:rFonts w:hint="eastAsia"/>
          <w:b/>
          <w:bCs/>
          <w:color w:val="auto"/>
          <w:sz w:val="36"/>
          <w:szCs w:val="36"/>
          <w:highlight w:val="none"/>
        </w:rPr>
        <w:br w:type="page"/>
      </w:r>
      <w:bookmarkStart w:id="240" w:name="_Toc21759"/>
      <w:r>
        <w:rPr>
          <w:rFonts w:hint="eastAsia"/>
          <w:b/>
          <w:bCs/>
          <w:color w:val="auto"/>
          <w:sz w:val="36"/>
          <w:szCs w:val="36"/>
          <w:highlight w:val="none"/>
        </w:rPr>
        <w:t>第六章   响应文件格式</w:t>
      </w:r>
      <w:bookmarkEnd w:id="236"/>
      <w:bookmarkEnd w:id="237"/>
      <w:bookmarkEnd w:id="238"/>
      <w:bookmarkEnd w:id="239"/>
      <w:bookmarkEnd w:id="240"/>
    </w:p>
    <w:p w14:paraId="70E67335">
      <w:pPr>
        <w:jc w:val="center"/>
        <w:rPr>
          <w:rFonts w:hint="eastAsia" w:ascii="宋体"/>
          <w:b/>
          <w:bCs/>
          <w:color w:val="auto"/>
          <w:kern w:val="0"/>
          <w:sz w:val="36"/>
          <w:szCs w:val="36"/>
          <w:highlight w:val="none"/>
        </w:rPr>
      </w:pPr>
      <w:r>
        <w:rPr>
          <w:rFonts w:hint="eastAsia" w:ascii="宋体" w:hAnsi="宋体"/>
          <w:b/>
          <w:bCs/>
          <w:color w:val="auto"/>
          <w:kern w:val="0"/>
          <w:sz w:val="36"/>
          <w:szCs w:val="36"/>
          <w:highlight w:val="none"/>
        </w:rPr>
        <w:t xml:space="preserve">                                                                                          </w:t>
      </w:r>
    </w:p>
    <w:p w14:paraId="5FC0116B">
      <w:pPr>
        <w:spacing w:line="360" w:lineRule="auto"/>
        <w:rPr>
          <w:rFonts w:hint="eastAsia" w:ascii="宋体" w:hAnsi="宋体" w:cs="宋体"/>
          <w:color w:val="auto"/>
          <w:sz w:val="24"/>
          <w:highlight w:val="none"/>
        </w:rPr>
      </w:pPr>
    </w:p>
    <w:p w14:paraId="61E7D973">
      <w:pPr>
        <w:spacing w:line="360" w:lineRule="auto"/>
        <w:jc w:val="center"/>
        <w:rPr>
          <w:rFonts w:hint="eastAsia" w:ascii="宋体" w:hAnsi="宋体" w:cs="宋体"/>
          <w:color w:val="auto"/>
          <w:sz w:val="24"/>
          <w:highlight w:val="none"/>
        </w:rPr>
      </w:pPr>
    </w:p>
    <w:p w14:paraId="4AF5E843">
      <w:pPr>
        <w:spacing w:line="360" w:lineRule="auto"/>
        <w:jc w:val="center"/>
        <w:rPr>
          <w:rFonts w:hint="eastAsia" w:ascii="宋体" w:hAnsi="宋体" w:cs="宋体"/>
          <w:color w:val="auto"/>
          <w:sz w:val="24"/>
          <w:highlight w:val="none"/>
          <w:u w:val="single"/>
        </w:rPr>
      </w:pPr>
    </w:p>
    <w:p w14:paraId="401AC384">
      <w:pPr>
        <w:spacing w:line="360" w:lineRule="auto"/>
        <w:jc w:val="center"/>
        <w:outlineLvl w:val="1"/>
        <w:rPr>
          <w:rFonts w:hint="eastAsia" w:ascii="宋体" w:hAnsi="宋体" w:cs="宋体"/>
          <w:color w:val="auto"/>
          <w:sz w:val="44"/>
          <w:szCs w:val="44"/>
          <w:highlight w:val="none"/>
        </w:rPr>
      </w:pP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 xml:space="preserve"> </w:t>
      </w:r>
      <w:bookmarkStart w:id="241" w:name="_Toc23137"/>
      <w:bookmarkStart w:id="242" w:name="_Toc28015"/>
      <w:bookmarkStart w:id="243" w:name="_Toc17665"/>
      <w:bookmarkStart w:id="244" w:name="_Toc32224"/>
      <w:bookmarkStart w:id="245" w:name="_Toc3447"/>
      <w:bookmarkStart w:id="246" w:name="_Toc29685"/>
      <w:bookmarkStart w:id="247" w:name="_Toc14184"/>
      <w:bookmarkStart w:id="248" w:name="_Toc25961"/>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rPr>
        <w:t>项目名称）</w:t>
      </w:r>
      <w:bookmarkEnd w:id="241"/>
      <w:bookmarkEnd w:id="242"/>
      <w:bookmarkEnd w:id="243"/>
      <w:bookmarkEnd w:id="244"/>
      <w:bookmarkEnd w:id="245"/>
      <w:bookmarkEnd w:id="246"/>
      <w:bookmarkEnd w:id="247"/>
      <w:bookmarkEnd w:id="248"/>
      <w:r>
        <w:rPr>
          <w:rFonts w:hint="eastAsia" w:ascii="宋体" w:hAnsi="宋体" w:cs="宋体"/>
          <w:color w:val="auto"/>
          <w:sz w:val="28"/>
          <w:szCs w:val="28"/>
          <w:highlight w:val="none"/>
          <w:u w:val="single"/>
        </w:rPr>
        <w:t xml:space="preserve"> </w:t>
      </w:r>
    </w:p>
    <w:p w14:paraId="6843ADA9">
      <w:pPr>
        <w:spacing w:line="360" w:lineRule="auto"/>
        <w:jc w:val="center"/>
        <w:outlineLvl w:val="0"/>
        <w:rPr>
          <w:rFonts w:hint="eastAsia" w:ascii="宋体" w:hAnsi="宋体" w:cs="宋体"/>
          <w:color w:val="auto"/>
          <w:sz w:val="44"/>
          <w:szCs w:val="44"/>
          <w:highlight w:val="none"/>
        </w:rPr>
      </w:pPr>
      <w:bookmarkStart w:id="249" w:name="_Toc16324"/>
      <w:bookmarkStart w:id="250" w:name="_Toc24489"/>
      <w:bookmarkStart w:id="251" w:name="_Toc392"/>
      <w:bookmarkStart w:id="252" w:name="_Toc28644"/>
      <w:bookmarkStart w:id="253" w:name="_Toc5193"/>
      <w:bookmarkStart w:id="254" w:name="_Toc4843"/>
      <w:bookmarkStart w:id="255" w:name="_Toc31310"/>
      <w:r>
        <w:rPr>
          <w:rFonts w:hint="eastAsia" w:ascii="宋体" w:hAnsi="宋体" w:cs="宋体"/>
          <w:color w:val="auto"/>
          <w:sz w:val="44"/>
          <w:szCs w:val="44"/>
          <w:highlight w:val="none"/>
        </w:rPr>
        <w:t>响  应  文  件</w:t>
      </w:r>
      <w:bookmarkEnd w:id="249"/>
      <w:bookmarkEnd w:id="250"/>
      <w:bookmarkEnd w:id="251"/>
      <w:bookmarkEnd w:id="252"/>
      <w:bookmarkEnd w:id="253"/>
      <w:bookmarkEnd w:id="254"/>
      <w:bookmarkEnd w:id="255"/>
    </w:p>
    <w:p w14:paraId="2E329B6C">
      <w:pPr>
        <w:spacing w:line="360" w:lineRule="auto"/>
        <w:ind w:firstLine="2760" w:firstLineChars="1150"/>
        <w:rPr>
          <w:rFonts w:hint="eastAsia" w:ascii="宋体" w:hAnsi="宋体" w:cs="宋体"/>
          <w:color w:val="auto"/>
          <w:sz w:val="24"/>
          <w:highlight w:val="none"/>
        </w:rPr>
      </w:pPr>
      <w:r>
        <w:rPr>
          <w:rFonts w:hint="eastAsia" w:ascii="宋体" w:hAnsi="宋体" w:cs="宋体"/>
          <w:color w:val="auto"/>
          <w:sz w:val="24"/>
          <w:highlight w:val="none"/>
        </w:rPr>
        <w:t xml:space="preserve">采购项目编号： </w:t>
      </w:r>
    </w:p>
    <w:p w14:paraId="6BECA436">
      <w:pPr>
        <w:spacing w:line="360" w:lineRule="auto"/>
        <w:jc w:val="center"/>
        <w:rPr>
          <w:rFonts w:hint="eastAsia" w:ascii="宋体" w:hAnsi="宋体" w:cs="宋体"/>
          <w:color w:val="auto"/>
          <w:sz w:val="24"/>
          <w:highlight w:val="none"/>
        </w:rPr>
      </w:pPr>
    </w:p>
    <w:p w14:paraId="0C7627B6">
      <w:pPr>
        <w:spacing w:line="360" w:lineRule="auto"/>
        <w:jc w:val="center"/>
        <w:rPr>
          <w:rFonts w:hint="eastAsia" w:ascii="宋体" w:hAnsi="宋体" w:cs="宋体"/>
          <w:color w:val="auto"/>
          <w:sz w:val="24"/>
          <w:highlight w:val="none"/>
        </w:rPr>
      </w:pPr>
    </w:p>
    <w:p w14:paraId="4D9A23A6">
      <w:pPr>
        <w:spacing w:line="360" w:lineRule="auto"/>
        <w:jc w:val="center"/>
        <w:rPr>
          <w:rFonts w:hint="eastAsia" w:ascii="宋体" w:hAnsi="宋体" w:cs="宋体"/>
          <w:color w:val="auto"/>
          <w:sz w:val="24"/>
          <w:highlight w:val="none"/>
        </w:rPr>
      </w:pPr>
    </w:p>
    <w:p w14:paraId="3D38A754">
      <w:pPr>
        <w:spacing w:line="360" w:lineRule="auto"/>
        <w:jc w:val="center"/>
        <w:rPr>
          <w:rFonts w:hint="eastAsia" w:ascii="宋体" w:hAnsi="宋体" w:cs="宋体"/>
          <w:color w:val="auto"/>
          <w:sz w:val="24"/>
          <w:highlight w:val="none"/>
        </w:rPr>
      </w:pPr>
    </w:p>
    <w:p w14:paraId="6CE448EA">
      <w:pPr>
        <w:spacing w:line="360" w:lineRule="auto"/>
        <w:jc w:val="center"/>
        <w:rPr>
          <w:rFonts w:hint="eastAsia" w:ascii="宋体" w:hAnsi="宋体" w:cs="宋体"/>
          <w:color w:val="auto"/>
          <w:sz w:val="24"/>
          <w:highlight w:val="none"/>
        </w:rPr>
      </w:pPr>
    </w:p>
    <w:p w14:paraId="3CB51C2A">
      <w:pPr>
        <w:spacing w:line="360" w:lineRule="auto"/>
        <w:jc w:val="center"/>
        <w:rPr>
          <w:rFonts w:hint="eastAsia" w:ascii="宋体" w:hAnsi="宋体" w:cs="宋体"/>
          <w:color w:val="auto"/>
          <w:sz w:val="24"/>
          <w:highlight w:val="none"/>
        </w:rPr>
      </w:pPr>
    </w:p>
    <w:p w14:paraId="3C515A14">
      <w:pPr>
        <w:spacing w:line="360" w:lineRule="auto"/>
        <w:jc w:val="center"/>
        <w:rPr>
          <w:rFonts w:hint="eastAsia" w:ascii="宋体" w:hAnsi="宋体" w:cs="宋体"/>
          <w:color w:val="auto"/>
          <w:sz w:val="24"/>
          <w:highlight w:val="none"/>
        </w:rPr>
      </w:pPr>
    </w:p>
    <w:p w14:paraId="53EF1146">
      <w:pPr>
        <w:spacing w:line="360" w:lineRule="auto"/>
        <w:jc w:val="center"/>
        <w:rPr>
          <w:rFonts w:hint="eastAsia" w:ascii="宋体" w:hAnsi="宋体" w:cs="宋体"/>
          <w:color w:val="auto"/>
          <w:sz w:val="24"/>
          <w:highlight w:val="none"/>
        </w:rPr>
      </w:pPr>
    </w:p>
    <w:p w14:paraId="3B9F615C">
      <w:pPr>
        <w:spacing w:line="360" w:lineRule="auto"/>
        <w:rPr>
          <w:rFonts w:hint="eastAsia" w:ascii="宋体" w:hAnsi="宋体" w:cs="宋体"/>
          <w:color w:val="auto"/>
          <w:sz w:val="24"/>
          <w:highlight w:val="none"/>
        </w:rPr>
      </w:pPr>
    </w:p>
    <w:p w14:paraId="231D0B1D">
      <w:pPr>
        <w:spacing w:line="360" w:lineRule="auto"/>
        <w:jc w:val="center"/>
        <w:rPr>
          <w:rFonts w:hint="eastAsia" w:ascii="宋体" w:hAnsi="宋体" w:cs="宋体"/>
          <w:color w:val="auto"/>
          <w:sz w:val="24"/>
          <w:highlight w:val="none"/>
        </w:rPr>
      </w:pPr>
    </w:p>
    <w:p w14:paraId="3F0D3FC0">
      <w:pPr>
        <w:spacing w:line="360" w:lineRule="auto"/>
        <w:jc w:val="center"/>
        <w:rPr>
          <w:rFonts w:hint="eastAsia" w:ascii="宋体" w:hAnsi="宋体" w:cs="宋体"/>
          <w:color w:val="auto"/>
          <w:sz w:val="24"/>
          <w:highlight w:val="none"/>
        </w:rPr>
      </w:pPr>
    </w:p>
    <w:p w14:paraId="397B0620">
      <w:pPr>
        <w:spacing w:line="358" w:lineRule="exact"/>
        <w:jc w:val="center"/>
        <w:rPr>
          <w:rFonts w:hint="eastAsia" w:ascii="宋体" w:hAnsi="宋体" w:cs="宋体"/>
          <w:color w:val="auto"/>
          <w:sz w:val="24"/>
          <w:highlight w:val="none"/>
        </w:rPr>
      </w:pPr>
      <w:r>
        <w:rPr>
          <w:rFonts w:hint="eastAsia" w:ascii="宋体" w:hAnsi="宋体" w:cs="宋体"/>
          <w:color w:val="auto"/>
          <w:sz w:val="24"/>
          <w:highlight w:val="none"/>
        </w:rPr>
        <w:t>响应人：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2782AD14">
      <w:pPr>
        <w:spacing w:line="358" w:lineRule="exact"/>
        <w:jc w:val="center"/>
        <w:rPr>
          <w:rFonts w:hint="eastAsia" w:ascii="宋体" w:hAnsi="宋体" w:cs="宋体"/>
          <w:color w:val="auto"/>
          <w:sz w:val="24"/>
          <w:highlight w:val="none"/>
        </w:rPr>
      </w:pPr>
    </w:p>
    <w:p w14:paraId="4CCF614E">
      <w:pPr>
        <w:spacing w:line="358" w:lineRule="exact"/>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rPr>
        <w:t>电子签章</w:t>
      </w:r>
      <w:r>
        <w:rPr>
          <w:rFonts w:hint="eastAsia" w:ascii="宋体" w:hAnsi="宋体" w:cs="宋体"/>
          <w:color w:val="auto"/>
          <w:sz w:val="24"/>
          <w:highlight w:val="none"/>
        </w:rPr>
        <w:t>）</w:t>
      </w:r>
    </w:p>
    <w:p w14:paraId="3AD92CA4">
      <w:pPr>
        <w:spacing w:line="358" w:lineRule="exact"/>
        <w:rPr>
          <w:rFonts w:hint="eastAsia" w:ascii="宋体" w:hAnsi="宋体" w:cs="宋体"/>
          <w:color w:val="auto"/>
          <w:sz w:val="24"/>
          <w:highlight w:val="none"/>
          <w:u w:val="single"/>
        </w:rPr>
      </w:pPr>
    </w:p>
    <w:p w14:paraId="280B7254">
      <w:pPr>
        <w:spacing w:line="358" w:lineRule="exact"/>
        <w:jc w:val="center"/>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7A68DB1">
      <w:pPr>
        <w:spacing w:line="0" w:lineRule="atLeast"/>
        <w:ind w:left="4200"/>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14:paraId="30181072">
      <w:pPr>
        <w:spacing w:line="520" w:lineRule="exact"/>
        <w:jc w:val="center"/>
        <w:textAlignment w:val="center"/>
        <w:outlineLvl w:val="1"/>
        <w:rPr>
          <w:rFonts w:ascii="宋体" w:hAnsi="宋体"/>
          <w:color w:val="auto"/>
          <w:sz w:val="24"/>
          <w:szCs w:val="24"/>
          <w:highlight w:val="none"/>
        </w:rPr>
      </w:pPr>
    </w:p>
    <w:p w14:paraId="23F55B74">
      <w:pPr>
        <w:spacing w:line="520" w:lineRule="exact"/>
        <w:jc w:val="center"/>
        <w:textAlignment w:val="center"/>
        <w:outlineLvl w:val="1"/>
        <w:rPr>
          <w:rFonts w:hint="eastAsia" w:ascii="宋体" w:hAnsi="宋体"/>
          <w:color w:val="auto"/>
          <w:sz w:val="24"/>
          <w:szCs w:val="24"/>
          <w:highlight w:val="none"/>
          <w:lang w:val="en-US" w:eastAsia="zh-CN"/>
        </w:rPr>
      </w:pPr>
      <w:r>
        <w:rPr>
          <w:rFonts w:ascii="宋体" w:hAnsi="宋体"/>
          <w:color w:val="auto"/>
          <w:sz w:val="24"/>
          <w:szCs w:val="24"/>
          <w:highlight w:val="none"/>
        </w:rPr>
        <w:br w:type="page"/>
      </w:r>
      <w:bookmarkStart w:id="256" w:name="_Toc4592"/>
      <w:bookmarkStart w:id="257" w:name="_Toc2735"/>
      <w:r>
        <w:rPr>
          <w:rFonts w:hint="eastAsia" w:ascii="宋体" w:hAnsi="宋体" w:eastAsia="宋体" w:cs="宋体"/>
          <w:b/>
          <w:bCs/>
          <w:color w:val="auto"/>
          <w:sz w:val="30"/>
          <w:szCs w:val="30"/>
          <w:highlight w:val="none"/>
          <w:lang w:val="en-US" w:eastAsia="zh-CN"/>
        </w:rPr>
        <w:t>目录</w:t>
      </w:r>
      <w:bookmarkEnd w:id="256"/>
      <w:bookmarkEnd w:id="257"/>
    </w:p>
    <w:p w14:paraId="4971EE87">
      <w:pPr>
        <w:spacing w:line="520" w:lineRule="exact"/>
        <w:jc w:val="center"/>
        <w:textAlignment w:val="center"/>
        <w:outlineLvl w:val="1"/>
        <w:rPr>
          <w:rFonts w:hint="eastAsia" w:ascii="宋体" w:hAnsi="宋体" w:cs="宋体"/>
          <w:b/>
          <w:bCs/>
          <w:color w:val="auto"/>
          <w:sz w:val="30"/>
          <w:szCs w:val="30"/>
          <w:highlight w:val="none"/>
        </w:rPr>
      </w:pPr>
      <w:bookmarkStart w:id="258" w:name="_Toc12051"/>
      <w:bookmarkStart w:id="259" w:name="_Toc18436"/>
      <w:r>
        <w:rPr>
          <w:rFonts w:hint="eastAsia" w:ascii="宋体" w:hAnsi="宋体"/>
          <w:color w:val="auto"/>
          <w:sz w:val="24"/>
          <w:szCs w:val="24"/>
          <w:highlight w:val="none"/>
          <w:lang w:val="en-US" w:eastAsia="zh-CN"/>
        </w:rPr>
        <w:t>（格式自拟）</w:t>
      </w:r>
      <w:r>
        <w:rPr>
          <w:rFonts w:ascii="宋体" w:hAnsi="宋体"/>
          <w:color w:val="auto"/>
          <w:sz w:val="24"/>
          <w:szCs w:val="24"/>
          <w:highlight w:val="none"/>
        </w:rPr>
        <w:br w:type="page"/>
      </w:r>
      <w:bookmarkStart w:id="260" w:name="_Toc12186"/>
      <w:bookmarkStart w:id="261" w:name="_Toc4696"/>
      <w:bookmarkStart w:id="262" w:name="_Toc12028"/>
      <w:bookmarkStart w:id="263" w:name="_Toc18902"/>
      <w:bookmarkStart w:id="264" w:name="_Toc32647"/>
      <w:r>
        <w:rPr>
          <w:rFonts w:hint="eastAsia" w:ascii="宋体" w:hAnsi="宋体" w:cs="宋体"/>
          <w:b/>
          <w:bCs/>
          <w:color w:val="auto"/>
          <w:sz w:val="30"/>
          <w:szCs w:val="30"/>
          <w:highlight w:val="none"/>
        </w:rPr>
        <w:t>一、磋商函及磋商函附录</w:t>
      </w:r>
      <w:bookmarkEnd w:id="258"/>
      <w:bookmarkEnd w:id="259"/>
      <w:bookmarkEnd w:id="260"/>
      <w:bookmarkEnd w:id="261"/>
      <w:bookmarkEnd w:id="262"/>
      <w:bookmarkEnd w:id="263"/>
      <w:bookmarkEnd w:id="264"/>
    </w:p>
    <w:p w14:paraId="6DD093A3">
      <w:pPr>
        <w:spacing w:line="0" w:lineRule="atLeast"/>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7669B109">
      <w:pPr>
        <w:spacing w:line="0" w:lineRule="atLeas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一）磋商函</w:t>
      </w:r>
    </w:p>
    <w:p w14:paraId="42748E05">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A674AEE">
      <w:pPr>
        <w:spacing w:line="460" w:lineRule="exact"/>
        <w:jc w:val="left"/>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（采购人</w:t>
      </w:r>
      <w:r>
        <w:rPr>
          <w:rFonts w:hint="eastAsia" w:ascii="宋体" w:hAnsi="宋体" w:cs="宋体"/>
          <w:color w:val="auto"/>
          <w:sz w:val="24"/>
          <w:highlight w:val="none"/>
        </w:rPr>
        <w:t>名称）</w:t>
      </w:r>
    </w:p>
    <w:p w14:paraId="40591696">
      <w:pPr>
        <w:spacing w:line="6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项目名称）磋商文件全部内容，</w:t>
      </w:r>
      <w:r>
        <w:rPr>
          <w:rFonts w:hint="eastAsia" w:ascii="宋体" w:hAnsi="宋体"/>
          <w:color w:val="auto"/>
          <w:sz w:val="24"/>
          <w:szCs w:val="24"/>
          <w:highlight w:val="none"/>
        </w:rPr>
        <w:t xml:space="preserve">愿意以总报价 </w:t>
      </w:r>
      <w:r>
        <w:rPr>
          <w:rFonts w:hint="eastAsia" w:ascii="宋体" w:hAnsi="宋体"/>
          <w:color w:val="auto"/>
          <w:sz w:val="24"/>
          <w:szCs w:val="24"/>
          <w:highlight w:val="none"/>
          <w:lang w:eastAsia="zh-CN"/>
        </w:rPr>
        <w:t>（</w:t>
      </w: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元</w:t>
      </w:r>
      <w:r>
        <w:rPr>
          <w:rFonts w:hint="eastAsia" w:ascii="宋体" w:hAnsi="宋体"/>
          <w:color w:val="auto"/>
          <w:sz w:val="24"/>
          <w:szCs w:val="24"/>
          <w:highlight w:val="none"/>
        </w:rPr>
        <w:t>完成本项目，</w:t>
      </w:r>
      <w:r>
        <w:rPr>
          <w:rFonts w:hint="eastAsia" w:ascii="宋体" w:hAnsi="宋体"/>
          <w:color w:val="auto"/>
          <w:sz w:val="24"/>
          <w:szCs w:val="24"/>
          <w:highlight w:val="none"/>
          <w:lang w:val="en-US" w:eastAsia="zh-CN"/>
        </w:rPr>
        <w:t>服务周期</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服务要求：</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s="宋体"/>
          <w:color w:val="auto"/>
          <w:sz w:val="24"/>
          <w:szCs w:val="24"/>
          <w:highlight w:val="none"/>
        </w:rPr>
        <w:t>。</w:t>
      </w:r>
    </w:p>
    <w:p w14:paraId="337EEF5C">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2、如果我们的</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被接受，我们将履行</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中规定的各项要求，按期、按质、 按量完成本项目工作。</w:t>
      </w:r>
    </w:p>
    <w:p w14:paraId="055DE634">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3、我们同意按</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文件中的规定，本</w:t>
      </w:r>
      <w:r>
        <w:rPr>
          <w:rFonts w:hint="eastAsia" w:ascii="宋体" w:hAnsi="宋体" w:cs="宋体"/>
          <w:color w:val="auto"/>
          <w:sz w:val="24"/>
          <w:szCs w:val="24"/>
          <w:highlight w:val="none"/>
          <w:lang w:eastAsia="zh-CN"/>
        </w:rPr>
        <w:t>响应文件</w:t>
      </w:r>
      <w:r>
        <w:rPr>
          <w:rFonts w:hint="eastAsia" w:ascii="宋体" w:hAnsi="宋体" w:cs="宋体"/>
          <w:color w:val="auto"/>
          <w:sz w:val="24"/>
          <w:szCs w:val="24"/>
          <w:highlight w:val="none"/>
        </w:rPr>
        <w:t>的有效期为</w:t>
      </w:r>
      <w:r>
        <w:rPr>
          <w:rFonts w:hint="eastAsia" w:ascii="宋体" w:hAnsi="宋体" w:cs="宋体"/>
          <w:color w:val="auto"/>
          <w:sz w:val="24"/>
          <w:szCs w:val="24"/>
          <w:highlight w:val="none"/>
          <w:lang w:eastAsia="zh-CN"/>
        </w:rPr>
        <w:t>响应截止</w:t>
      </w:r>
      <w:r>
        <w:rPr>
          <w:rFonts w:hint="eastAsia" w:ascii="宋体" w:hAnsi="宋体" w:cs="宋体"/>
          <w:color w:val="auto"/>
          <w:sz w:val="24"/>
          <w:szCs w:val="24"/>
          <w:highlight w:val="none"/>
        </w:rPr>
        <w:t>之日起</w:t>
      </w:r>
      <w:r>
        <w:rPr>
          <w:rFonts w:hint="eastAsia" w:ascii="宋体" w:hAnsi="宋体" w:cs="宋体"/>
          <w:color w:val="auto"/>
          <w:sz w:val="24"/>
          <w:szCs w:val="24"/>
          <w:highlight w:val="none"/>
          <w:u w:val="single"/>
        </w:rPr>
        <w:t xml:space="preserve"> 60</w:t>
      </w:r>
      <w:r>
        <w:rPr>
          <w:rFonts w:hint="eastAsia" w:ascii="宋体" w:hAnsi="宋体" w:cs="宋体"/>
          <w:color w:val="auto"/>
          <w:sz w:val="24"/>
          <w:szCs w:val="24"/>
          <w:highlight w:val="none"/>
        </w:rPr>
        <w:t xml:space="preserve"> 日历天。 如果中标，有效期延长至合同终止日止。 </w:t>
      </w:r>
    </w:p>
    <w:p w14:paraId="2674D42A">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4、我们已经详细审核了全部</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文件，包括修改、补充的文件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如果有的话）和参考资料及有关附件，我们完全理解并同意放弃对这方面有不明及误解的权利。</w:t>
      </w:r>
    </w:p>
    <w:p w14:paraId="0C966138">
      <w:pPr>
        <w:spacing w:line="6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5、我方承诺在本项目</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活动中所有提供的证明、文件、材料均合法、真实、有效，如 有虚假，自愿放弃中标资格，并承担一切后果。</w:t>
      </w:r>
    </w:p>
    <w:p w14:paraId="17F82B02">
      <w:pPr>
        <w:spacing w:line="460" w:lineRule="exact"/>
        <w:ind w:firstLine="480" w:firstLineChars="200"/>
        <w:jc w:val="left"/>
        <w:rPr>
          <w:rFonts w:hint="eastAsia" w:ascii="宋体" w:hAnsi="宋体" w:cs="宋体"/>
          <w:color w:val="auto"/>
          <w:sz w:val="24"/>
          <w:highlight w:val="none"/>
        </w:rPr>
      </w:pPr>
    </w:p>
    <w:p w14:paraId="0461FDE0">
      <w:pPr>
        <w:spacing w:line="460" w:lineRule="exact"/>
        <w:ind w:firstLine="3840" w:firstLineChars="1600"/>
        <w:jc w:val="left"/>
        <w:rPr>
          <w:rFonts w:hint="eastAsia" w:ascii="宋体" w:hAnsi="宋体" w:cs="宋体"/>
          <w:color w:val="auto"/>
          <w:sz w:val="24"/>
          <w:highlight w:val="none"/>
        </w:rPr>
      </w:pPr>
    </w:p>
    <w:p w14:paraId="0377735F">
      <w:pPr>
        <w:spacing w:line="460" w:lineRule="exact"/>
        <w:ind w:firstLine="3840" w:firstLineChars="160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652D0BF">
      <w:pPr>
        <w:spacing w:line="700" w:lineRule="exact"/>
        <w:ind w:right="480" w:firstLine="3360" w:firstLineChars="1400"/>
        <w:rPr>
          <w:rFonts w:hint="eastAsia" w:ascii="宋体" w:hAnsi="宋体" w:cs="宋体"/>
          <w:color w:val="auto"/>
          <w:sz w:val="24"/>
          <w:highlight w:val="none"/>
        </w:rPr>
      </w:pPr>
      <w:r>
        <w:rPr>
          <w:rFonts w:hint="eastAsia" w:ascii="宋体" w:hAnsi="宋体" w:cs="宋体"/>
          <w:color w:val="auto"/>
          <w:sz w:val="24"/>
          <w:highlight w:val="none"/>
        </w:rPr>
        <w:t>响应人：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1BB1C305">
      <w:pPr>
        <w:wordWrap w:val="0"/>
        <w:spacing w:line="700" w:lineRule="exact"/>
        <w:ind w:firstLine="3360" w:firstLineChars="1400"/>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rPr>
        <w:t>电子签章</w:t>
      </w:r>
      <w:r>
        <w:rPr>
          <w:rFonts w:hint="eastAsia" w:ascii="宋体" w:hAnsi="宋体" w:cs="宋体"/>
          <w:color w:val="auto"/>
          <w:sz w:val="24"/>
          <w:highlight w:val="none"/>
        </w:rPr>
        <w:t>）</w:t>
      </w:r>
    </w:p>
    <w:p w14:paraId="00C564E7">
      <w:pPr>
        <w:spacing w:line="700" w:lineRule="exact"/>
        <w:ind w:right="480" w:firstLine="3120" w:firstLineChars="1300"/>
        <w:rPr>
          <w:rFonts w:hint="eastAsia"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填写能联系到的电话号码，方便通知二次报价）</w:t>
      </w:r>
    </w:p>
    <w:p w14:paraId="4D24309B">
      <w:pPr>
        <w:spacing w:line="700" w:lineRule="exact"/>
        <w:ind w:right="480" w:firstLine="3360" w:firstLineChars="1400"/>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26BFBF31">
      <w:pPr>
        <w:widowControl/>
        <w:jc w:val="left"/>
        <w:rPr>
          <w:rFonts w:hint="eastAsia" w:ascii="宋体" w:hAnsi="宋体" w:cs="宋体"/>
          <w:color w:val="auto"/>
          <w:sz w:val="24"/>
          <w:highlight w:val="none"/>
        </w:rPr>
        <w:sectPr>
          <w:footerReference r:id="rId8" w:type="default"/>
          <w:pgSz w:w="11900" w:h="16838"/>
          <w:pgMar w:top="1077" w:right="1134" w:bottom="1077" w:left="1134" w:header="720" w:footer="720" w:gutter="0"/>
          <w:pgNumType w:fmt="decimal" w:start="1"/>
          <w:cols w:space="720" w:num="1"/>
          <w:docGrid w:type="lines" w:linePitch="360" w:charSpace="0"/>
        </w:sectPr>
      </w:pPr>
    </w:p>
    <w:p w14:paraId="475497DE">
      <w:pPr>
        <w:spacing w:before="312" w:beforeLines="100" w:after="156" w:afterLines="50" w:line="240" w:lineRule="exact"/>
        <w:jc w:val="center"/>
        <w:textAlignment w:val="center"/>
        <w:rPr>
          <w:rFonts w:hint="eastAsia" w:ascii="宋体" w:hAnsi="宋体" w:cs="宋体"/>
          <w:b/>
          <w:bCs/>
          <w:color w:val="auto"/>
          <w:sz w:val="30"/>
          <w:szCs w:val="30"/>
          <w:highlight w:val="none"/>
        </w:rPr>
      </w:pPr>
      <w:bookmarkStart w:id="265" w:name="page58"/>
      <w:bookmarkEnd w:id="265"/>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二）磋商函附录</w:t>
      </w:r>
      <w:r>
        <w:rPr>
          <w:rFonts w:hint="eastAsia" w:ascii="宋体" w:hAnsi="宋体" w:cs="宋体"/>
          <w:b/>
          <w:bCs/>
          <w:color w:val="auto"/>
          <w:sz w:val="30"/>
          <w:szCs w:val="30"/>
          <w:highlight w:val="none"/>
          <w:lang w:eastAsia="zh-CN"/>
        </w:rPr>
        <w:t>（</w:t>
      </w:r>
      <w:r>
        <w:rPr>
          <w:rFonts w:hint="eastAsia" w:ascii="宋体" w:hAnsi="宋体" w:cs="宋体"/>
          <w:b/>
          <w:bCs/>
          <w:color w:val="auto"/>
          <w:sz w:val="30"/>
          <w:szCs w:val="30"/>
          <w:highlight w:val="none"/>
        </w:rPr>
        <w:t>第一次报价）</w:t>
      </w:r>
    </w:p>
    <w:tbl>
      <w:tblPr>
        <w:tblStyle w:val="19"/>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4"/>
        <w:gridCol w:w="6765"/>
      </w:tblGrid>
      <w:tr w14:paraId="6A3035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2434" w:type="dxa"/>
            <w:noWrap w:val="0"/>
            <w:vAlign w:val="center"/>
          </w:tcPr>
          <w:p w14:paraId="78E3055D">
            <w:pPr>
              <w:pStyle w:val="7"/>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项目名称</w:t>
            </w:r>
          </w:p>
        </w:tc>
        <w:tc>
          <w:tcPr>
            <w:tcW w:w="6765" w:type="dxa"/>
            <w:noWrap w:val="0"/>
            <w:vAlign w:val="center"/>
          </w:tcPr>
          <w:p w14:paraId="15628C58">
            <w:pPr>
              <w:jc w:val="center"/>
              <w:rPr>
                <w:rFonts w:hint="eastAsia" w:ascii="宋体" w:hAnsi="宋体" w:eastAsia="宋体" w:cs="宋体"/>
                <w:b w:val="0"/>
                <w:bCs w:val="0"/>
                <w:color w:val="auto"/>
                <w:sz w:val="24"/>
                <w:szCs w:val="24"/>
                <w:highlight w:val="none"/>
              </w:rPr>
            </w:pPr>
          </w:p>
        </w:tc>
      </w:tr>
      <w:tr w14:paraId="5BCB6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jc w:val="center"/>
        </w:trPr>
        <w:tc>
          <w:tcPr>
            <w:tcW w:w="2434" w:type="dxa"/>
            <w:noWrap w:val="0"/>
            <w:vAlign w:val="center"/>
          </w:tcPr>
          <w:p w14:paraId="2FF59175">
            <w:pPr>
              <w:pStyle w:val="7"/>
              <w:widowControl/>
              <w:spacing w:line="360" w:lineRule="auto"/>
              <w:jc w:val="center"/>
              <w:rPr>
                <w:rFonts w:hint="eastAsia" w:ascii="宋体"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lang w:eastAsia="zh-CN" w:bidi="ar"/>
              </w:rPr>
              <w:t>响应人</w:t>
            </w:r>
            <w:r>
              <w:rPr>
                <w:rFonts w:hint="eastAsia" w:ascii="宋体" w:hAnsi="宋体" w:eastAsia="宋体" w:cs="宋体"/>
                <w:b w:val="0"/>
                <w:bCs w:val="0"/>
                <w:color w:val="auto"/>
                <w:sz w:val="24"/>
                <w:szCs w:val="24"/>
                <w:highlight w:val="none"/>
                <w:lang w:bidi="ar"/>
              </w:rPr>
              <w:t>名称</w:t>
            </w:r>
          </w:p>
        </w:tc>
        <w:tc>
          <w:tcPr>
            <w:tcW w:w="6765" w:type="dxa"/>
            <w:noWrap w:val="0"/>
            <w:vAlign w:val="center"/>
          </w:tcPr>
          <w:p w14:paraId="4E2C6B88">
            <w:pPr>
              <w:jc w:val="center"/>
              <w:rPr>
                <w:rFonts w:hint="eastAsia" w:ascii="宋体" w:hAnsi="宋体" w:eastAsia="宋体" w:cs="宋体"/>
                <w:b w:val="0"/>
                <w:bCs w:val="0"/>
                <w:color w:val="auto"/>
                <w:sz w:val="24"/>
                <w:szCs w:val="24"/>
                <w:highlight w:val="none"/>
              </w:rPr>
            </w:pPr>
          </w:p>
        </w:tc>
      </w:tr>
      <w:tr w14:paraId="428E9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9" w:hRule="atLeast"/>
          <w:jc w:val="center"/>
        </w:trPr>
        <w:tc>
          <w:tcPr>
            <w:tcW w:w="2434" w:type="dxa"/>
            <w:noWrap w:val="0"/>
            <w:vAlign w:val="center"/>
          </w:tcPr>
          <w:p w14:paraId="46A95491">
            <w:pPr>
              <w:pStyle w:val="7"/>
              <w:widowControl/>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bidi="ar"/>
              </w:rPr>
              <w:t>项目编号</w:t>
            </w:r>
          </w:p>
        </w:tc>
        <w:tc>
          <w:tcPr>
            <w:tcW w:w="6765" w:type="dxa"/>
            <w:noWrap w:val="0"/>
            <w:vAlign w:val="center"/>
          </w:tcPr>
          <w:p w14:paraId="2A96CAB9">
            <w:pPr>
              <w:jc w:val="center"/>
              <w:rPr>
                <w:rFonts w:hint="eastAsia" w:ascii="宋体" w:hAnsi="宋体" w:eastAsia="宋体" w:cs="宋体"/>
                <w:b w:val="0"/>
                <w:bCs w:val="0"/>
                <w:color w:val="auto"/>
                <w:sz w:val="24"/>
                <w:szCs w:val="24"/>
                <w:highlight w:val="none"/>
              </w:rPr>
            </w:pPr>
          </w:p>
        </w:tc>
      </w:tr>
      <w:tr w14:paraId="65E75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4" w:hRule="atLeast"/>
          <w:jc w:val="center"/>
        </w:trPr>
        <w:tc>
          <w:tcPr>
            <w:tcW w:w="2434" w:type="dxa"/>
            <w:noWrap w:val="0"/>
            <w:vAlign w:val="center"/>
          </w:tcPr>
          <w:p w14:paraId="4A376142">
            <w:pPr>
              <w:pStyle w:val="7"/>
              <w:widowControl/>
              <w:spacing w:line="360" w:lineRule="auto"/>
              <w:jc w:val="center"/>
              <w:rPr>
                <w:rFonts w:hint="eastAsia" w:ascii="宋体" w:hAnsi="宋体" w:eastAsia="宋体" w:cs="宋体"/>
                <w:b w:val="0"/>
                <w:bCs w:val="0"/>
                <w:color w:val="auto"/>
                <w:sz w:val="24"/>
                <w:szCs w:val="24"/>
                <w:highlight w:val="none"/>
                <w:lang w:bidi="ar"/>
              </w:rPr>
            </w:pPr>
            <w:r>
              <w:rPr>
                <w:rFonts w:hint="eastAsia" w:hAnsi="宋体" w:eastAsia="宋体" w:cs="宋体"/>
                <w:b w:val="0"/>
                <w:bCs w:val="0"/>
                <w:color w:val="auto"/>
                <w:sz w:val="24"/>
                <w:szCs w:val="24"/>
                <w:highlight w:val="none"/>
                <w:lang w:val="en-US" w:eastAsia="zh-CN" w:bidi="ar"/>
              </w:rPr>
              <w:t>响应</w:t>
            </w:r>
            <w:r>
              <w:rPr>
                <w:rFonts w:hint="eastAsia" w:ascii="宋体" w:hAnsi="宋体" w:eastAsia="宋体" w:cs="宋体"/>
                <w:b w:val="0"/>
                <w:bCs w:val="0"/>
                <w:color w:val="auto"/>
                <w:sz w:val="24"/>
                <w:szCs w:val="24"/>
                <w:highlight w:val="none"/>
                <w:lang w:bidi="ar"/>
              </w:rPr>
              <w:t>报价</w:t>
            </w:r>
          </w:p>
        </w:tc>
        <w:tc>
          <w:tcPr>
            <w:tcW w:w="6765" w:type="dxa"/>
            <w:noWrap w:val="0"/>
            <w:vAlign w:val="center"/>
          </w:tcPr>
          <w:p w14:paraId="78DB6942">
            <w:pPr>
              <w:pStyle w:val="7"/>
              <w:widowControl/>
              <w:spacing w:line="360" w:lineRule="auto"/>
              <w:jc w:val="left"/>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 xml:space="preserve">大写：             </w:t>
            </w:r>
          </w:p>
          <w:p w14:paraId="7B9736E3">
            <w:pPr>
              <w:pStyle w:val="7"/>
              <w:widowControl/>
              <w:spacing w:line="360" w:lineRule="auto"/>
              <w:jc w:val="left"/>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小写：</w:t>
            </w:r>
          </w:p>
        </w:tc>
      </w:tr>
      <w:tr w14:paraId="25A3E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434" w:type="dxa"/>
            <w:noWrap w:val="0"/>
            <w:vAlign w:val="center"/>
          </w:tcPr>
          <w:p w14:paraId="2E9DD18C">
            <w:pPr>
              <w:jc w:val="center"/>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bidi="ar"/>
              </w:rPr>
              <w:t>服务</w:t>
            </w:r>
            <w:r>
              <w:rPr>
                <w:rFonts w:hint="eastAsia" w:ascii="宋体" w:hAnsi="宋体" w:eastAsia="宋体" w:cs="宋体"/>
                <w:b w:val="0"/>
                <w:bCs w:val="0"/>
                <w:color w:val="auto"/>
                <w:sz w:val="24"/>
                <w:szCs w:val="24"/>
                <w:highlight w:val="none"/>
                <w:lang w:val="en-US" w:eastAsia="zh-CN" w:bidi="ar"/>
              </w:rPr>
              <w:t>周期</w:t>
            </w:r>
          </w:p>
        </w:tc>
        <w:tc>
          <w:tcPr>
            <w:tcW w:w="6765" w:type="dxa"/>
            <w:noWrap w:val="0"/>
            <w:vAlign w:val="center"/>
          </w:tcPr>
          <w:p w14:paraId="08F22A2C">
            <w:pPr>
              <w:jc w:val="center"/>
              <w:rPr>
                <w:rFonts w:hint="eastAsia" w:ascii="宋体" w:hAnsi="宋体" w:eastAsia="宋体" w:cs="宋体"/>
                <w:b w:val="0"/>
                <w:bCs w:val="0"/>
                <w:color w:val="auto"/>
                <w:sz w:val="24"/>
                <w:szCs w:val="24"/>
                <w:highlight w:val="none"/>
              </w:rPr>
            </w:pPr>
          </w:p>
        </w:tc>
      </w:tr>
      <w:tr w14:paraId="707B9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2434" w:type="dxa"/>
            <w:noWrap w:val="0"/>
            <w:vAlign w:val="center"/>
          </w:tcPr>
          <w:p w14:paraId="4EF4DF93">
            <w:pPr>
              <w:pStyle w:val="7"/>
              <w:widowControl/>
              <w:spacing w:line="360" w:lineRule="auto"/>
              <w:jc w:val="center"/>
              <w:rPr>
                <w:rFonts w:hint="eastAsia" w:ascii="宋体" w:hAnsi="宋体" w:eastAsia="宋体" w:cs="宋体"/>
                <w:b w:val="0"/>
                <w:bCs w:val="0"/>
                <w:color w:val="auto"/>
                <w:sz w:val="24"/>
                <w:szCs w:val="24"/>
                <w:highlight w:val="none"/>
              </w:rPr>
            </w:pPr>
            <w:r>
              <w:rPr>
                <w:rFonts w:hint="eastAsia" w:hAnsi="宋体" w:eastAsia="宋体" w:cs="宋体"/>
                <w:b w:val="0"/>
                <w:bCs w:val="0"/>
                <w:color w:val="auto"/>
                <w:sz w:val="24"/>
                <w:szCs w:val="24"/>
                <w:highlight w:val="none"/>
                <w:lang w:val="en-US" w:eastAsia="zh-CN" w:bidi="ar"/>
              </w:rPr>
              <w:t>服务</w:t>
            </w:r>
            <w:r>
              <w:rPr>
                <w:rFonts w:hint="eastAsia" w:ascii="宋体" w:hAnsi="宋体" w:eastAsia="宋体" w:cs="宋体"/>
                <w:b w:val="0"/>
                <w:bCs w:val="0"/>
                <w:color w:val="auto"/>
                <w:sz w:val="24"/>
                <w:szCs w:val="24"/>
                <w:highlight w:val="none"/>
                <w:lang w:bidi="ar"/>
              </w:rPr>
              <w:t>要求</w:t>
            </w:r>
          </w:p>
        </w:tc>
        <w:tc>
          <w:tcPr>
            <w:tcW w:w="6765" w:type="dxa"/>
            <w:noWrap w:val="0"/>
            <w:vAlign w:val="center"/>
          </w:tcPr>
          <w:p w14:paraId="1B129828">
            <w:pPr>
              <w:jc w:val="center"/>
              <w:rPr>
                <w:rFonts w:hint="eastAsia" w:ascii="宋体" w:hAnsi="宋体" w:eastAsia="宋体" w:cs="宋体"/>
                <w:b w:val="0"/>
                <w:bCs w:val="0"/>
                <w:color w:val="auto"/>
                <w:sz w:val="24"/>
                <w:szCs w:val="24"/>
                <w:highlight w:val="none"/>
              </w:rPr>
            </w:pPr>
          </w:p>
        </w:tc>
      </w:tr>
      <w:tr w14:paraId="2F3542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jc w:val="center"/>
        </w:trPr>
        <w:tc>
          <w:tcPr>
            <w:tcW w:w="2434" w:type="dxa"/>
            <w:noWrap w:val="0"/>
            <w:vAlign w:val="center"/>
          </w:tcPr>
          <w:p w14:paraId="0B7AE116">
            <w:pPr>
              <w:pStyle w:val="7"/>
              <w:widowControl/>
              <w:spacing w:line="360" w:lineRule="auto"/>
              <w:jc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磋商有效期</w:t>
            </w:r>
          </w:p>
        </w:tc>
        <w:tc>
          <w:tcPr>
            <w:tcW w:w="6765" w:type="dxa"/>
            <w:noWrap w:val="0"/>
            <w:vAlign w:val="center"/>
          </w:tcPr>
          <w:p w14:paraId="1C7E148F">
            <w:pPr>
              <w:pStyle w:val="7"/>
              <w:widowControl/>
              <w:spacing w:line="360" w:lineRule="auto"/>
              <w:jc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bidi="ar"/>
              </w:rPr>
              <w:t>响应文件递交截止之日起      日历天</w:t>
            </w:r>
          </w:p>
        </w:tc>
      </w:tr>
      <w:tr w14:paraId="2E89D5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8" w:hRule="atLeast"/>
          <w:jc w:val="center"/>
        </w:trPr>
        <w:tc>
          <w:tcPr>
            <w:tcW w:w="2434" w:type="dxa"/>
            <w:noWrap w:val="0"/>
            <w:vAlign w:val="center"/>
          </w:tcPr>
          <w:p w14:paraId="12183BC3">
            <w:pPr>
              <w:pStyle w:val="7"/>
              <w:widowControl/>
              <w:spacing w:line="360" w:lineRule="auto"/>
              <w:jc w:val="center"/>
              <w:rPr>
                <w:rFonts w:hint="eastAsia" w:ascii="宋体" w:hAnsi="宋体" w:eastAsia="宋体" w:cs="宋体"/>
                <w:b w:val="0"/>
                <w:bCs w:val="0"/>
                <w:color w:val="auto"/>
                <w:sz w:val="24"/>
                <w:szCs w:val="24"/>
                <w:highlight w:val="none"/>
                <w:lang w:bidi="ar"/>
              </w:rPr>
            </w:pPr>
            <w:r>
              <w:rPr>
                <w:rFonts w:hint="eastAsia" w:ascii="宋体" w:hAnsi="宋体" w:eastAsia="宋体" w:cs="宋体"/>
                <w:b w:val="0"/>
                <w:bCs w:val="0"/>
                <w:color w:val="auto"/>
                <w:sz w:val="24"/>
                <w:szCs w:val="24"/>
                <w:highlight w:val="none"/>
                <w:lang w:val="en-US" w:eastAsia="en-US" w:bidi="ar"/>
              </w:rPr>
              <w:t>报价说明</w:t>
            </w:r>
          </w:p>
        </w:tc>
        <w:tc>
          <w:tcPr>
            <w:tcW w:w="6765" w:type="dxa"/>
            <w:noWrap w:val="0"/>
            <w:vAlign w:val="center"/>
          </w:tcPr>
          <w:p w14:paraId="41A613B1">
            <w:pPr>
              <w:pStyle w:val="7"/>
              <w:widowControl/>
              <w:spacing w:line="360" w:lineRule="auto"/>
              <w:jc w:val="both"/>
              <w:rPr>
                <w:rFonts w:hint="eastAsia" w:ascii="宋体" w:hAnsi="宋体" w:eastAsia="宋体" w:cs="宋体"/>
                <w:b w:val="0"/>
                <w:bCs w:val="0"/>
                <w:color w:val="auto"/>
                <w:sz w:val="24"/>
                <w:szCs w:val="24"/>
                <w:highlight w:val="none"/>
                <w:lang w:bidi="ar"/>
              </w:rPr>
            </w:pPr>
            <w:r>
              <w:rPr>
                <w:rFonts w:hint="eastAsia" w:hAnsi="宋体" w:eastAsia="宋体" w:cs="宋体"/>
                <w:b w:val="0"/>
                <w:bCs w:val="0"/>
                <w:color w:val="auto"/>
                <w:sz w:val="24"/>
                <w:szCs w:val="24"/>
                <w:highlight w:val="none"/>
                <w:lang w:val="en-US" w:eastAsia="zh-CN" w:bidi="ar"/>
              </w:rPr>
              <w:t>（</w:t>
            </w:r>
            <w:r>
              <w:rPr>
                <w:rFonts w:hint="eastAsia" w:ascii="宋体" w:hAnsi="宋体" w:eastAsia="宋体" w:cs="宋体"/>
                <w:b w:val="0"/>
                <w:bCs w:val="0"/>
                <w:color w:val="auto"/>
                <w:sz w:val="24"/>
                <w:szCs w:val="24"/>
                <w:highlight w:val="none"/>
                <w:lang w:val="en-US" w:eastAsia="zh-CN" w:bidi="ar"/>
              </w:rPr>
              <w:t>对本次</w:t>
            </w:r>
            <w:r>
              <w:rPr>
                <w:rFonts w:hint="eastAsia" w:hAnsi="宋体" w:eastAsia="宋体" w:cs="宋体"/>
                <w:b w:val="0"/>
                <w:bCs w:val="0"/>
                <w:color w:val="auto"/>
                <w:sz w:val="24"/>
                <w:szCs w:val="24"/>
                <w:highlight w:val="none"/>
                <w:lang w:val="en-US" w:eastAsia="zh-CN" w:bidi="ar"/>
              </w:rPr>
              <w:t>响应</w:t>
            </w:r>
            <w:r>
              <w:rPr>
                <w:rFonts w:hint="eastAsia" w:ascii="宋体" w:hAnsi="宋体" w:eastAsia="宋体" w:cs="宋体"/>
                <w:b w:val="0"/>
                <w:bCs w:val="0"/>
                <w:color w:val="auto"/>
                <w:sz w:val="24"/>
                <w:szCs w:val="24"/>
                <w:highlight w:val="none"/>
                <w:lang w:val="en-US" w:eastAsia="zh-CN" w:bidi="ar"/>
              </w:rPr>
              <w:t>报价的说明）</w:t>
            </w:r>
          </w:p>
        </w:tc>
      </w:tr>
    </w:tbl>
    <w:p w14:paraId="20A333B8">
      <w:pPr>
        <w:spacing w:line="440" w:lineRule="exact"/>
        <w:ind w:firstLine="480" w:firstLineChars="200"/>
        <w:rPr>
          <w:rFonts w:hint="eastAsia" w:ascii="宋体" w:hAnsi="宋体" w:cs="宋体"/>
          <w:color w:val="auto"/>
          <w:sz w:val="24"/>
          <w:highlight w:val="none"/>
        </w:rPr>
      </w:pPr>
    </w:p>
    <w:p w14:paraId="63076E6D">
      <w:pPr>
        <w:spacing w:line="700" w:lineRule="exact"/>
        <w:jc w:val="right"/>
        <w:rPr>
          <w:rFonts w:hint="eastAsia" w:ascii="宋体" w:hAnsi="宋体" w:cs="宋体"/>
          <w:color w:val="auto"/>
          <w:sz w:val="24"/>
          <w:highlight w:val="none"/>
        </w:rPr>
      </w:pPr>
      <w:r>
        <w:rPr>
          <w:rFonts w:hint="eastAsia" w:ascii="宋体" w:hAnsi="宋体" w:cs="宋体"/>
          <w:color w:val="auto"/>
          <w:sz w:val="24"/>
          <w:highlight w:val="none"/>
        </w:rPr>
        <w:t>响应人：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1B9F7CD6">
      <w:pPr>
        <w:spacing w:line="700" w:lineRule="exact"/>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rPr>
        <w:t>电子签章</w:t>
      </w:r>
      <w:r>
        <w:rPr>
          <w:rFonts w:hint="eastAsia" w:ascii="宋体" w:hAnsi="宋体" w:cs="宋体"/>
          <w:color w:val="auto"/>
          <w:sz w:val="24"/>
          <w:highlight w:val="none"/>
        </w:rPr>
        <w:t>）</w:t>
      </w:r>
    </w:p>
    <w:p w14:paraId="00A05DA4">
      <w:pPr>
        <w:spacing w:line="700" w:lineRule="exact"/>
        <w:jc w:val="right"/>
        <w:rPr>
          <w:rFonts w:hint="eastAsia" w:ascii="宋体" w:hAnsi="宋体" w:cs="宋体"/>
          <w:b/>
          <w:bCs/>
          <w:color w:val="auto"/>
          <w:sz w:val="30"/>
          <w:szCs w:val="30"/>
          <w:highlight w:val="none"/>
        </w:rPr>
      </w:pPr>
      <w:r>
        <w:rPr>
          <w:rFonts w:hint="eastAsia" w:ascii="宋体" w:hAnsi="宋体" w:cs="宋体"/>
          <w:color w:val="auto"/>
          <w:sz w:val="24"/>
          <w:highlight w:val="none"/>
        </w:rPr>
        <w:t>日期：   年   月   日</w:t>
      </w:r>
      <w:bookmarkStart w:id="266" w:name="page59"/>
      <w:bookmarkEnd w:id="266"/>
      <w:bookmarkStart w:id="267" w:name="_Toc13852"/>
    </w:p>
    <w:p w14:paraId="3F2E21B6">
      <w:pPr>
        <w:spacing w:line="0" w:lineRule="atLeast"/>
        <w:jc w:val="center"/>
        <w:outlineLvl w:val="1"/>
        <w:rPr>
          <w:rFonts w:hint="eastAsia" w:ascii="宋体" w:hAnsi="宋体" w:cs="宋体"/>
          <w:b/>
          <w:bCs/>
          <w:color w:val="auto"/>
          <w:sz w:val="30"/>
          <w:szCs w:val="30"/>
          <w:highlight w:val="none"/>
        </w:rPr>
      </w:pPr>
      <w:bookmarkStart w:id="268" w:name="_Toc25860"/>
      <w:r>
        <w:rPr>
          <w:rFonts w:hint="eastAsia" w:ascii="宋体" w:hAnsi="宋体" w:cs="宋体"/>
          <w:b/>
          <w:bCs/>
          <w:color w:val="auto"/>
          <w:sz w:val="30"/>
          <w:szCs w:val="30"/>
          <w:highlight w:val="none"/>
        </w:rPr>
        <w:br w:type="page"/>
      </w:r>
      <w:bookmarkStart w:id="269" w:name="_Toc13975"/>
      <w:bookmarkStart w:id="270" w:name="_Toc6028"/>
      <w:bookmarkStart w:id="271" w:name="_Toc25131"/>
      <w:r>
        <w:rPr>
          <w:rFonts w:hint="eastAsia" w:ascii="宋体" w:hAnsi="宋体" w:cs="宋体"/>
          <w:b/>
          <w:bCs/>
          <w:color w:val="auto"/>
          <w:sz w:val="30"/>
          <w:szCs w:val="30"/>
          <w:highlight w:val="none"/>
        </w:rPr>
        <w:t>二、法定代表人身份证明</w:t>
      </w:r>
      <w:bookmarkEnd w:id="267"/>
      <w:bookmarkEnd w:id="268"/>
      <w:bookmarkEnd w:id="269"/>
      <w:bookmarkEnd w:id="270"/>
      <w:bookmarkEnd w:id="271"/>
    </w:p>
    <w:p w14:paraId="6FA9FC47">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CD0FE72">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响 应 人：</w:t>
      </w:r>
    </w:p>
    <w:p w14:paraId="38B359F3">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单位性质：</w:t>
      </w:r>
    </w:p>
    <w:p w14:paraId="643427FD">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地    址：</w:t>
      </w:r>
    </w:p>
    <w:p w14:paraId="36755967">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成立时间：     年  月  日</w:t>
      </w:r>
    </w:p>
    <w:p w14:paraId="0106912F">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经营期限：</w:t>
      </w:r>
    </w:p>
    <w:p w14:paraId="7D0D4D19">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姓    名：         性        别：</w:t>
      </w:r>
    </w:p>
    <w:p w14:paraId="4D2D5A3C">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年    龄：         职        务：</w:t>
      </w:r>
    </w:p>
    <w:p w14:paraId="275E7629">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响应人名称）的法定代表人。</w:t>
      </w:r>
    </w:p>
    <w:p w14:paraId="4CE1D431">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特此证明。</w:t>
      </w:r>
    </w:p>
    <w:p w14:paraId="0EF9C2C0">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B865AD6">
      <w:pPr>
        <w:spacing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775587D">
      <w:pPr>
        <w:wordWrap w:val="0"/>
        <w:spacing w:line="520" w:lineRule="exact"/>
        <w:jc w:val="right"/>
        <w:rPr>
          <w:rFonts w:hint="eastAsia" w:ascii="宋体" w:hAnsi="宋体" w:cs="宋体"/>
          <w:color w:val="auto"/>
          <w:sz w:val="24"/>
          <w:highlight w:val="none"/>
        </w:rPr>
      </w:pPr>
      <w:r>
        <w:rPr>
          <w:rFonts w:hint="eastAsia" w:ascii="宋体" w:hAnsi="宋体" w:cs="宋体"/>
          <w:color w:val="auto"/>
          <w:sz w:val="24"/>
          <w:highlight w:val="none"/>
        </w:rPr>
        <w:t>响应人：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（电子签章</w:t>
      </w:r>
      <w:r>
        <w:rPr>
          <w:rFonts w:hint="eastAsia" w:ascii="宋体" w:hAnsi="宋体" w:cs="宋体"/>
          <w:color w:val="auto"/>
          <w:sz w:val="24"/>
          <w:highlight w:val="none"/>
        </w:rPr>
        <w:t>）</w:t>
      </w:r>
    </w:p>
    <w:p w14:paraId="58944797">
      <w:pPr>
        <w:spacing w:line="480" w:lineRule="exact"/>
        <w:jc w:val="right"/>
        <w:textAlignment w:val="center"/>
        <w:rPr>
          <w:rFonts w:hint="eastAsia" w:ascii="宋体" w:hAnsi="宋体" w:cs="宋体"/>
          <w:color w:val="auto"/>
          <w:sz w:val="24"/>
          <w:highlight w:val="none"/>
        </w:rPr>
      </w:pPr>
    </w:p>
    <w:p w14:paraId="15817445">
      <w:pPr>
        <w:spacing w:line="480" w:lineRule="exact"/>
        <w:jc w:val="righ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年   月   日          </w:t>
      </w:r>
    </w:p>
    <w:p w14:paraId="18C63568">
      <w:pPr>
        <w:spacing w:before="312" w:beforeLines="100" w:after="156" w:afterLines="50" w:line="480" w:lineRule="exact"/>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19"/>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961"/>
        <w:gridCol w:w="4961"/>
      </w:tblGrid>
      <w:tr w14:paraId="6380EBB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3266" w:hRule="atLeast"/>
          <w:jc w:val="center"/>
        </w:trPr>
        <w:tc>
          <w:tcPr>
            <w:tcW w:w="4961" w:type="dxa"/>
            <w:noWrap w:val="0"/>
            <w:vAlign w:val="center"/>
          </w:tcPr>
          <w:p w14:paraId="2DF78487">
            <w:pPr>
              <w:spacing w:line="480" w:lineRule="auto"/>
              <w:jc w:val="center"/>
              <w:rPr>
                <w:rFonts w:ascii="宋体" w:hAnsi="宋体" w:cs="宋体"/>
                <w:color w:val="auto"/>
                <w:kern w:val="0"/>
                <w:sz w:val="24"/>
                <w:szCs w:val="20"/>
                <w:highlight w:val="none"/>
              </w:rPr>
            </w:pPr>
            <w:r>
              <w:rPr>
                <w:rFonts w:hint="eastAsia" w:ascii="宋体" w:hAnsi="宋体"/>
                <w:color w:val="auto"/>
                <w:spacing w:val="8"/>
                <w:sz w:val="24"/>
                <w:szCs w:val="20"/>
                <w:highlight w:val="none"/>
              </w:rPr>
              <w:t>法定代表人身份证扫描件（</w:t>
            </w:r>
            <w:r>
              <w:rPr>
                <w:rFonts w:hint="eastAsia" w:ascii="宋体" w:hAnsi="宋体"/>
                <w:color w:val="auto"/>
                <w:spacing w:val="8"/>
                <w:sz w:val="24"/>
                <w:szCs w:val="20"/>
                <w:highlight w:val="none"/>
                <w:lang w:val="en-US" w:eastAsia="zh-CN"/>
              </w:rPr>
              <w:t>人像面</w:t>
            </w:r>
            <w:r>
              <w:rPr>
                <w:rFonts w:hint="eastAsia" w:ascii="宋体" w:hAnsi="宋体"/>
                <w:color w:val="auto"/>
                <w:spacing w:val="8"/>
                <w:sz w:val="24"/>
                <w:szCs w:val="20"/>
                <w:highlight w:val="none"/>
              </w:rPr>
              <w:t>）</w:t>
            </w:r>
          </w:p>
        </w:tc>
        <w:tc>
          <w:tcPr>
            <w:tcW w:w="4961" w:type="dxa"/>
            <w:noWrap w:val="0"/>
            <w:vAlign w:val="center"/>
          </w:tcPr>
          <w:p w14:paraId="39CF7E17">
            <w:pPr>
              <w:spacing w:line="480" w:lineRule="auto"/>
              <w:jc w:val="center"/>
              <w:rPr>
                <w:rFonts w:ascii="宋体" w:hAnsi="宋体" w:cs="宋体"/>
                <w:color w:val="auto"/>
                <w:kern w:val="0"/>
                <w:sz w:val="24"/>
                <w:szCs w:val="20"/>
                <w:highlight w:val="none"/>
              </w:rPr>
            </w:pPr>
            <w:r>
              <w:rPr>
                <w:rFonts w:hint="eastAsia" w:ascii="宋体" w:hAnsi="宋体"/>
                <w:color w:val="auto"/>
                <w:spacing w:val="8"/>
                <w:sz w:val="24"/>
                <w:szCs w:val="20"/>
                <w:highlight w:val="none"/>
              </w:rPr>
              <w:t>法定代表人身份证扫描件（</w:t>
            </w:r>
            <w:r>
              <w:rPr>
                <w:rFonts w:hint="eastAsia" w:ascii="宋体" w:hAnsi="宋体"/>
                <w:color w:val="auto"/>
                <w:spacing w:val="8"/>
                <w:sz w:val="24"/>
                <w:szCs w:val="20"/>
                <w:highlight w:val="none"/>
                <w:lang w:val="en-US" w:eastAsia="zh-CN"/>
              </w:rPr>
              <w:t>国徽面</w:t>
            </w:r>
            <w:r>
              <w:rPr>
                <w:rFonts w:hint="eastAsia" w:ascii="宋体" w:hAnsi="宋体"/>
                <w:color w:val="auto"/>
                <w:spacing w:val="8"/>
                <w:sz w:val="24"/>
                <w:szCs w:val="20"/>
                <w:highlight w:val="none"/>
              </w:rPr>
              <w:t>）</w:t>
            </w:r>
          </w:p>
        </w:tc>
      </w:tr>
    </w:tbl>
    <w:p w14:paraId="7A91FF98">
      <w:pPr>
        <w:spacing w:before="312" w:beforeLines="100" w:after="156" w:afterLines="50" w:line="480" w:lineRule="exact"/>
        <w:textAlignment w:val="center"/>
        <w:rPr>
          <w:rFonts w:hint="eastAsia" w:ascii="宋体" w:hAnsi="宋体" w:cs="宋体"/>
          <w:color w:val="auto"/>
          <w:sz w:val="24"/>
          <w:highlight w:val="none"/>
        </w:rPr>
      </w:pPr>
    </w:p>
    <w:p w14:paraId="4FBE51BB">
      <w:pPr>
        <w:spacing w:line="114"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9F64BBF">
      <w:pPr>
        <w:spacing w:line="0" w:lineRule="atLeast"/>
        <w:ind w:left="374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63661A88">
      <w:pPr>
        <w:spacing w:line="0" w:lineRule="atLeast"/>
        <w:ind w:left="374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2A90876">
      <w:pPr>
        <w:spacing w:line="0" w:lineRule="atLeast"/>
        <w:ind w:left="3740"/>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3088CE6">
      <w:pPr>
        <w:rPr>
          <w:rFonts w:hint="eastAsia" w:ascii="宋体" w:hAnsi="宋体" w:cs="宋体"/>
          <w:b/>
          <w:bCs/>
          <w:color w:val="auto"/>
          <w:sz w:val="30"/>
          <w:szCs w:val="30"/>
          <w:highlight w:val="none"/>
        </w:rPr>
      </w:pPr>
      <w:bookmarkStart w:id="272" w:name="_Toc10900"/>
      <w:bookmarkStart w:id="273" w:name="_Toc21111"/>
      <w:bookmarkStart w:id="274" w:name="_Toc24501"/>
      <w:bookmarkStart w:id="275" w:name="_Toc31117"/>
      <w:bookmarkStart w:id="276" w:name="_Toc27840"/>
      <w:bookmarkStart w:id="277" w:name="_Toc13827"/>
      <w:r>
        <w:rPr>
          <w:rFonts w:hint="eastAsia" w:ascii="宋体" w:hAnsi="宋体" w:cs="宋体"/>
          <w:b/>
          <w:bCs/>
          <w:color w:val="auto"/>
          <w:sz w:val="30"/>
          <w:szCs w:val="30"/>
          <w:highlight w:val="none"/>
        </w:rPr>
        <w:br w:type="page"/>
      </w:r>
    </w:p>
    <w:p w14:paraId="680D4B42">
      <w:pPr>
        <w:spacing w:line="0" w:lineRule="atLeast"/>
        <w:jc w:val="center"/>
        <w:outlineLvl w:val="1"/>
        <w:rPr>
          <w:rFonts w:hint="eastAsia" w:ascii="宋体" w:hAnsi="宋体" w:cs="宋体"/>
          <w:b/>
          <w:bCs/>
          <w:color w:val="auto"/>
          <w:sz w:val="30"/>
          <w:szCs w:val="30"/>
          <w:highlight w:val="none"/>
        </w:rPr>
      </w:pPr>
      <w:bookmarkStart w:id="278" w:name="_Toc22923"/>
      <w:r>
        <w:rPr>
          <w:rFonts w:hint="eastAsia" w:ascii="宋体" w:hAnsi="宋体" w:cs="宋体"/>
          <w:b/>
          <w:bCs/>
          <w:color w:val="auto"/>
          <w:sz w:val="30"/>
          <w:szCs w:val="30"/>
          <w:highlight w:val="none"/>
        </w:rPr>
        <w:t>三、授权委托书</w:t>
      </w:r>
      <w:bookmarkEnd w:id="272"/>
      <w:bookmarkEnd w:id="273"/>
      <w:bookmarkEnd w:id="274"/>
      <w:bookmarkEnd w:id="275"/>
      <w:bookmarkEnd w:id="276"/>
      <w:bookmarkEnd w:id="277"/>
      <w:bookmarkEnd w:id="278"/>
    </w:p>
    <w:p w14:paraId="303FEF94">
      <w:pPr>
        <w:spacing w:line="480" w:lineRule="exact"/>
        <w:ind w:firstLine="720" w:firstLineChars="300"/>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9E0BFF2">
      <w:pPr>
        <w:keepNext w:val="0"/>
        <w:keepLines w:val="0"/>
        <w:pageBreakBefore w:val="0"/>
        <w:widowControl w:val="0"/>
        <w:kinsoku/>
        <w:overflowPunct/>
        <w:topLinePunct w:val="0"/>
        <w:autoSpaceDE/>
        <w:autoSpaceDN/>
        <w:bidi w:val="0"/>
        <w:adjustRightInd/>
        <w:snapToGrid/>
        <w:spacing w:line="520" w:lineRule="exact"/>
        <w:ind w:firstLine="720" w:firstLineChars="300"/>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响应人名称）</w:t>
      </w:r>
      <w:r>
        <w:rPr>
          <w:rFonts w:hint="eastAsia" w:ascii="宋体" w:hAnsi="宋体" w:cs="宋体"/>
          <w:color w:val="auto"/>
          <w:sz w:val="24"/>
          <w:szCs w:val="24"/>
          <w:highlight w:val="none"/>
        </w:rPr>
        <w:t>的法定代表人，现委托</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姓名）</w:t>
      </w:r>
      <w:r>
        <w:rPr>
          <w:rFonts w:hint="eastAsia" w:ascii="宋体" w:hAnsi="宋体" w:cs="宋体"/>
          <w:color w:val="auto"/>
          <w:sz w:val="24"/>
          <w:szCs w:val="24"/>
          <w:highlight w:val="none"/>
        </w:rPr>
        <w:t>为我方代理人。代理人根据授权，以我方名义签署、澄清、说明、补正、递交、撤回、修改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项目名称）响应文件、签订合同和处理有关事宜，其法律后果由我方承担。</w:t>
      </w:r>
    </w:p>
    <w:p w14:paraId="450311BF">
      <w:pPr>
        <w:keepNext w:val="0"/>
        <w:keepLines w:val="0"/>
        <w:pageBreakBefore w:val="0"/>
        <w:widowControl w:val="0"/>
        <w:kinsoku/>
        <w:overflowPunct/>
        <w:topLinePunct w:val="0"/>
        <w:autoSpaceDE/>
        <w:autoSpaceDN/>
        <w:bidi w:val="0"/>
        <w:adjustRightInd/>
        <w:snapToGrid/>
        <w:spacing w:line="520" w:lineRule="exact"/>
        <w:ind w:firstLine="720" w:firstLineChars="300"/>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19F00765">
      <w:pPr>
        <w:keepNext w:val="0"/>
        <w:keepLines w:val="0"/>
        <w:pageBreakBefore w:val="0"/>
        <w:widowControl w:val="0"/>
        <w:kinsoku/>
        <w:overflowPunct/>
        <w:topLinePunct w:val="0"/>
        <w:autoSpaceDE/>
        <w:autoSpaceDN/>
        <w:bidi w:val="0"/>
        <w:adjustRightInd/>
        <w:snapToGrid/>
        <w:spacing w:after="312" w:afterLines="100" w:line="520" w:lineRule="exact"/>
        <w:ind w:firstLine="480" w:firstLineChars="200"/>
        <w:textAlignment w:val="center"/>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附：法定代表人身份证及委托代理人身份证扫描件</w:t>
      </w:r>
    </w:p>
    <w:p w14:paraId="46F811E2">
      <w:pPr>
        <w:keepNext w:val="0"/>
        <w:keepLines w:val="0"/>
        <w:pageBreakBefore w:val="0"/>
        <w:widowControl w:val="0"/>
        <w:kinsoku/>
        <w:overflowPunct/>
        <w:topLinePunct w:val="0"/>
        <w:autoSpaceDE/>
        <w:autoSpaceDN/>
        <w:bidi w:val="0"/>
        <w:adjustRightInd/>
        <w:snapToGrid/>
        <w:spacing w:line="520" w:lineRule="exact"/>
        <w:jc w:val="right"/>
        <w:textAlignment w:val="center"/>
        <w:rPr>
          <w:rFonts w:hint="eastAsia"/>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highlight w:val="none"/>
        </w:rPr>
        <w:t>响应人：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电子签章</w:t>
      </w:r>
      <w:r>
        <w:rPr>
          <w:rFonts w:hint="eastAsia" w:ascii="宋体" w:hAnsi="宋体" w:cs="宋体"/>
          <w:kern w:val="0"/>
          <w:sz w:val="24"/>
          <w:szCs w:val="24"/>
          <w:highlight w:val="none"/>
          <w:lang w:eastAsia="zh-CN"/>
        </w:rPr>
        <w:t>）</w:t>
      </w:r>
    </w:p>
    <w:p w14:paraId="5C7A8934">
      <w:pPr>
        <w:keepNext w:val="0"/>
        <w:keepLines w:val="0"/>
        <w:pageBreakBefore w:val="0"/>
        <w:widowControl w:val="0"/>
        <w:kinsoku/>
        <w:wordWrap w:val="0"/>
        <w:overflowPunct/>
        <w:topLinePunct w:val="0"/>
        <w:autoSpaceDE/>
        <w:autoSpaceDN/>
        <w:bidi w:val="0"/>
        <w:adjustRightInd/>
        <w:snapToGrid/>
        <w:spacing w:line="520" w:lineRule="exact"/>
        <w:jc w:val="right"/>
        <w:rPr>
          <w:rFonts w:ascii="宋体" w:hAnsi="宋体" w:cs="宋体"/>
          <w:color w:val="auto"/>
          <w:sz w:val="24"/>
          <w:szCs w:val="24"/>
          <w:highlight w:val="none"/>
        </w:rPr>
      </w:pPr>
      <w:r>
        <w:rPr>
          <w:rFonts w:hint="eastAsia" w:ascii="宋体" w:hAnsi="宋体" w:cs="宋体"/>
          <w:kern w:val="0"/>
          <w:sz w:val="24"/>
          <w:szCs w:val="24"/>
          <w:highlight w:val="none"/>
        </w:rPr>
        <w:t>法定代表</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rPr>
        <w:t>：</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 xml:space="preserve"> </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电子签章</w:t>
      </w:r>
      <w:r>
        <w:rPr>
          <w:rFonts w:hint="eastAsia" w:ascii="宋体" w:hAnsi="宋体" w:cs="宋体"/>
          <w:kern w:val="0"/>
          <w:sz w:val="24"/>
          <w:szCs w:val="24"/>
          <w:highlight w:val="none"/>
        </w:rPr>
        <w:t>）</w:t>
      </w:r>
      <w:r>
        <w:rPr>
          <w:rFonts w:hint="eastAsia" w:ascii="宋体" w:hAnsi="宋体" w:cs="宋体"/>
          <w:color w:val="auto"/>
          <w:sz w:val="24"/>
          <w:szCs w:val="24"/>
          <w:highlight w:val="none"/>
        </w:rPr>
        <w:t xml:space="preserve"> </w:t>
      </w:r>
    </w:p>
    <w:p w14:paraId="76A7A497">
      <w:pPr>
        <w:keepNext w:val="0"/>
        <w:keepLines w:val="0"/>
        <w:pageBreakBefore w:val="0"/>
        <w:widowControl w:val="0"/>
        <w:kinsoku/>
        <w:overflowPunct/>
        <w:topLinePunct w:val="0"/>
        <w:autoSpaceDE/>
        <w:autoSpaceDN/>
        <w:bidi w:val="0"/>
        <w:adjustRightInd/>
        <w:snapToGrid/>
        <w:spacing w:line="520" w:lineRule="exact"/>
        <w:jc w:val="righ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签字或法定代表人电子签章）</w:t>
      </w:r>
    </w:p>
    <w:p w14:paraId="1BC659C4">
      <w:pPr>
        <w:keepNext w:val="0"/>
        <w:keepLines w:val="0"/>
        <w:pageBreakBefore w:val="0"/>
        <w:widowControl w:val="0"/>
        <w:kinsoku/>
        <w:overflowPunct/>
        <w:topLinePunct w:val="0"/>
        <w:autoSpaceDE/>
        <w:autoSpaceDN/>
        <w:bidi w:val="0"/>
        <w:adjustRightInd/>
        <w:snapToGrid/>
        <w:spacing w:line="520" w:lineRule="exact"/>
        <w:jc w:val="right"/>
        <w:textAlignment w:val="center"/>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DBCFF77">
      <w:pPr>
        <w:keepNext w:val="0"/>
        <w:keepLines w:val="0"/>
        <w:pageBreakBefore w:val="0"/>
        <w:widowControl w:val="0"/>
        <w:kinsoku/>
        <w:overflowPunct/>
        <w:topLinePunct w:val="0"/>
        <w:autoSpaceDE/>
        <w:autoSpaceDN/>
        <w:bidi w:val="0"/>
        <w:adjustRightInd/>
        <w:snapToGrid/>
        <w:spacing w:before="312" w:beforeLines="100" w:after="156" w:afterLines="50" w:line="520" w:lineRule="exact"/>
        <w:textAlignment w:val="center"/>
        <w:rPr>
          <w:rFonts w:hint="eastAsia" w:ascii="宋体"/>
          <w:b/>
          <w:bCs/>
          <w:color w:val="auto"/>
          <w:sz w:val="24"/>
          <w:highlight w:val="none"/>
        </w:rPr>
      </w:pP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w:t>
      </w:r>
      <w:r>
        <w:rPr>
          <w:rFonts w:hint="eastAsia" w:ascii="宋体"/>
          <w:b/>
          <w:bCs/>
          <w:color w:val="auto"/>
          <w:sz w:val="24"/>
          <w:highlight w:val="none"/>
        </w:rPr>
        <w:t>因本项目为电子标，委托代理人无法手写签字，可以电脑打印字体为准或以法定代表人电子签章为准</w:t>
      </w:r>
      <w:r>
        <w:rPr>
          <w:rFonts w:hint="eastAsia" w:ascii="宋体" w:hAnsi="宋体" w:cs="宋体"/>
          <w:b/>
          <w:bCs/>
          <w:color w:val="auto"/>
          <w:sz w:val="24"/>
          <w:szCs w:val="24"/>
          <w:highlight w:val="none"/>
          <w:lang w:eastAsia="zh-CN"/>
        </w:rPr>
        <w:t>）</w:t>
      </w:r>
      <w:r>
        <w:rPr>
          <w:rFonts w:hint="eastAsia" w:ascii="宋体"/>
          <w:b/>
          <w:bCs/>
          <w:color w:val="auto"/>
          <w:sz w:val="24"/>
          <w:highlight w:val="none"/>
        </w:rPr>
        <w:t>。</w:t>
      </w:r>
    </w:p>
    <w:p w14:paraId="1DD611D2">
      <w:pPr>
        <w:keepNext w:val="0"/>
        <w:keepLines w:val="0"/>
        <w:pageBreakBefore w:val="0"/>
        <w:widowControl w:val="0"/>
        <w:kinsoku/>
        <w:overflowPunct/>
        <w:topLinePunct w:val="0"/>
        <w:autoSpaceDE/>
        <w:autoSpaceDN/>
        <w:bidi w:val="0"/>
        <w:adjustRightInd/>
        <w:snapToGrid/>
        <w:spacing w:before="312" w:beforeLines="100" w:after="156" w:afterLines="50" w:line="520" w:lineRule="exact"/>
        <w:textAlignment w:val="center"/>
        <w:rPr>
          <w:rFonts w:hint="eastAsia" w:ascii="宋体"/>
          <w:b/>
          <w:bCs/>
          <w:color w:val="auto"/>
          <w:sz w:val="24"/>
          <w:highlight w:val="none"/>
        </w:rPr>
      </w:pPr>
    </w:p>
    <w:tbl>
      <w:tblPr>
        <w:tblStyle w:val="19"/>
        <w:tblW w:w="9177"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36"/>
        <w:gridCol w:w="4841"/>
      </w:tblGrid>
      <w:tr w14:paraId="0188396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39" w:hRule="atLeast"/>
          <w:jc w:val="center"/>
        </w:trPr>
        <w:tc>
          <w:tcPr>
            <w:tcW w:w="4336" w:type="dxa"/>
            <w:noWrap w:val="0"/>
            <w:vAlign w:val="center"/>
          </w:tcPr>
          <w:p w14:paraId="23A9AB42">
            <w:pPr>
              <w:autoSpaceDE w:val="0"/>
              <w:autoSpaceDN w:val="0"/>
              <w:adjustRightInd w:val="0"/>
              <w:spacing w:line="480" w:lineRule="exact"/>
              <w:jc w:val="center"/>
              <w:rPr>
                <w:rFonts w:ascii="宋体" w:hAnsi="宋体" w:cs="宋体"/>
                <w:color w:val="auto"/>
                <w:kern w:val="0"/>
                <w:sz w:val="24"/>
                <w:szCs w:val="20"/>
                <w:highlight w:val="none"/>
              </w:rPr>
            </w:pPr>
            <w:bookmarkStart w:id="279" w:name="_Toc466566720"/>
            <w:bookmarkEnd w:id="279"/>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w:t>
            </w:r>
            <w:r>
              <w:rPr>
                <w:rFonts w:hint="eastAsia" w:ascii="宋体" w:hAnsi="宋体"/>
                <w:color w:val="auto"/>
                <w:spacing w:val="8"/>
                <w:sz w:val="24"/>
                <w:szCs w:val="20"/>
                <w:highlight w:val="none"/>
                <w:lang w:val="en-US" w:eastAsia="zh-CN"/>
              </w:rPr>
              <w:t>人像面</w:t>
            </w:r>
            <w:r>
              <w:rPr>
                <w:rFonts w:hint="eastAsia" w:ascii="宋体" w:hAnsi="宋体"/>
                <w:color w:val="auto"/>
                <w:spacing w:val="8"/>
                <w:sz w:val="24"/>
                <w:szCs w:val="20"/>
                <w:highlight w:val="none"/>
              </w:rPr>
              <w:t>）</w:t>
            </w:r>
          </w:p>
          <w:p w14:paraId="4060FA10">
            <w:pPr>
              <w:jc w:val="center"/>
              <w:rPr>
                <w:rFonts w:ascii="宋体" w:hAnsi="宋体" w:cs="宋体"/>
                <w:color w:val="auto"/>
                <w:sz w:val="24"/>
                <w:szCs w:val="20"/>
                <w:highlight w:val="none"/>
              </w:rPr>
            </w:pPr>
          </w:p>
        </w:tc>
        <w:tc>
          <w:tcPr>
            <w:tcW w:w="4841" w:type="dxa"/>
            <w:noWrap w:val="0"/>
            <w:vAlign w:val="center"/>
          </w:tcPr>
          <w:p w14:paraId="206B622B">
            <w:pPr>
              <w:autoSpaceDE w:val="0"/>
              <w:autoSpaceDN w:val="0"/>
              <w:adjustRightInd w:val="0"/>
              <w:spacing w:line="560" w:lineRule="exact"/>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法定代表人身份证</w:t>
            </w:r>
            <w:r>
              <w:rPr>
                <w:rFonts w:hint="eastAsia" w:ascii="宋体" w:hAnsi="宋体"/>
                <w:color w:val="auto"/>
                <w:spacing w:val="8"/>
                <w:sz w:val="24"/>
                <w:szCs w:val="20"/>
                <w:highlight w:val="none"/>
              </w:rPr>
              <w:t>扫描件（</w:t>
            </w:r>
            <w:r>
              <w:rPr>
                <w:rFonts w:hint="eastAsia" w:ascii="宋体" w:hAnsi="宋体"/>
                <w:color w:val="auto"/>
                <w:spacing w:val="8"/>
                <w:sz w:val="24"/>
                <w:szCs w:val="20"/>
                <w:highlight w:val="none"/>
                <w:lang w:val="en-US" w:eastAsia="zh-CN"/>
              </w:rPr>
              <w:t>国徽面</w:t>
            </w:r>
            <w:r>
              <w:rPr>
                <w:rFonts w:hint="eastAsia" w:ascii="宋体" w:hAnsi="宋体"/>
                <w:color w:val="auto"/>
                <w:spacing w:val="8"/>
                <w:sz w:val="24"/>
                <w:szCs w:val="20"/>
                <w:highlight w:val="none"/>
              </w:rPr>
              <w:t>）</w:t>
            </w:r>
          </w:p>
          <w:p w14:paraId="7E2AB448">
            <w:pPr>
              <w:autoSpaceDE w:val="0"/>
              <w:autoSpaceDN w:val="0"/>
              <w:adjustRightInd w:val="0"/>
              <w:spacing w:line="560" w:lineRule="exact"/>
              <w:jc w:val="center"/>
              <w:rPr>
                <w:rFonts w:ascii="宋体" w:hAnsi="宋体" w:cs="宋体"/>
                <w:color w:val="auto"/>
                <w:kern w:val="0"/>
                <w:sz w:val="24"/>
                <w:szCs w:val="20"/>
                <w:highlight w:val="none"/>
              </w:rPr>
            </w:pPr>
          </w:p>
        </w:tc>
      </w:tr>
    </w:tbl>
    <w:p w14:paraId="6CF0AB3F">
      <w:pPr>
        <w:rPr>
          <w:vanish/>
          <w:color w:val="auto"/>
          <w:highlight w:val="none"/>
        </w:rPr>
      </w:pPr>
    </w:p>
    <w:tbl>
      <w:tblPr>
        <w:tblStyle w:val="19"/>
        <w:tblpPr w:leftFromText="180" w:rightFromText="180" w:vertAnchor="text" w:horzAnchor="page" w:tblpX="1506" w:tblpY="478"/>
        <w:tblW w:w="910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0"/>
        <w:gridCol w:w="4550"/>
      </w:tblGrid>
      <w:tr w14:paraId="0D04B2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18" w:hRule="atLeast"/>
        </w:trPr>
        <w:tc>
          <w:tcPr>
            <w:tcW w:w="4550" w:type="dxa"/>
            <w:noWrap w:val="0"/>
            <w:vAlign w:val="center"/>
          </w:tcPr>
          <w:p w14:paraId="699C6452">
            <w:pPr>
              <w:autoSpaceDE w:val="0"/>
              <w:autoSpaceDN w:val="0"/>
              <w:adjustRightInd w:val="0"/>
              <w:spacing w:before="120" w:beforeLines="50" w:line="480" w:lineRule="auto"/>
              <w:jc w:val="center"/>
              <w:rPr>
                <w:rFonts w:ascii="宋体" w:hAnsi="宋体" w:cs="宋体"/>
                <w:color w:val="auto"/>
                <w:kern w:val="0"/>
                <w:sz w:val="24"/>
                <w:szCs w:val="20"/>
                <w:highlight w:val="none"/>
              </w:rPr>
            </w:pPr>
            <w:r>
              <w:rPr>
                <w:rFonts w:hint="eastAsia" w:ascii="宋体" w:hAnsi="宋体"/>
                <w:color w:val="auto"/>
                <w:spacing w:val="8"/>
                <w:sz w:val="24"/>
                <w:szCs w:val="20"/>
                <w:highlight w:val="none"/>
              </w:rPr>
              <w:t>被授权委托人身份证扫描件（</w:t>
            </w:r>
            <w:r>
              <w:rPr>
                <w:rFonts w:hint="eastAsia" w:ascii="宋体" w:hAnsi="宋体"/>
                <w:color w:val="auto"/>
                <w:spacing w:val="8"/>
                <w:sz w:val="24"/>
                <w:szCs w:val="20"/>
                <w:highlight w:val="none"/>
                <w:lang w:val="en-US" w:eastAsia="zh-CN"/>
              </w:rPr>
              <w:t>人像面</w:t>
            </w:r>
            <w:r>
              <w:rPr>
                <w:rFonts w:hint="eastAsia" w:ascii="宋体" w:hAnsi="宋体"/>
                <w:color w:val="auto"/>
                <w:spacing w:val="8"/>
                <w:sz w:val="24"/>
                <w:szCs w:val="20"/>
                <w:highlight w:val="none"/>
              </w:rPr>
              <w:t>）</w:t>
            </w:r>
          </w:p>
        </w:tc>
        <w:tc>
          <w:tcPr>
            <w:tcW w:w="4550" w:type="dxa"/>
            <w:noWrap w:val="0"/>
            <w:vAlign w:val="center"/>
          </w:tcPr>
          <w:p w14:paraId="0D8723CB">
            <w:pPr>
              <w:autoSpaceDE w:val="0"/>
              <w:autoSpaceDN w:val="0"/>
              <w:adjustRightInd w:val="0"/>
              <w:spacing w:before="120" w:beforeLines="50" w:line="480" w:lineRule="auto"/>
              <w:jc w:val="center"/>
              <w:rPr>
                <w:rFonts w:ascii="宋体" w:hAnsi="宋体" w:cs="宋体"/>
                <w:color w:val="auto"/>
                <w:kern w:val="0"/>
                <w:sz w:val="24"/>
                <w:szCs w:val="20"/>
                <w:highlight w:val="none"/>
              </w:rPr>
            </w:pPr>
            <w:r>
              <w:rPr>
                <w:rFonts w:hint="eastAsia" w:ascii="宋体" w:hAnsi="宋体"/>
                <w:color w:val="auto"/>
                <w:spacing w:val="8"/>
                <w:sz w:val="24"/>
                <w:szCs w:val="20"/>
                <w:highlight w:val="none"/>
              </w:rPr>
              <w:t>被授权委托人身份证扫描件（</w:t>
            </w:r>
            <w:r>
              <w:rPr>
                <w:rFonts w:hint="eastAsia" w:ascii="宋体" w:hAnsi="宋体"/>
                <w:color w:val="auto"/>
                <w:spacing w:val="8"/>
                <w:sz w:val="24"/>
                <w:szCs w:val="20"/>
                <w:highlight w:val="none"/>
                <w:lang w:val="en-US" w:eastAsia="zh-CN"/>
              </w:rPr>
              <w:t>国徽面</w:t>
            </w:r>
            <w:r>
              <w:rPr>
                <w:rFonts w:hint="eastAsia" w:ascii="宋体" w:hAnsi="宋体"/>
                <w:color w:val="auto"/>
                <w:spacing w:val="8"/>
                <w:sz w:val="24"/>
                <w:szCs w:val="20"/>
                <w:highlight w:val="none"/>
              </w:rPr>
              <w:t>）</w:t>
            </w:r>
          </w:p>
        </w:tc>
      </w:tr>
    </w:tbl>
    <w:p w14:paraId="6C9F7C3C">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278F70DC">
      <w:pPr>
        <w:spacing w:line="0" w:lineRule="atLeast"/>
        <w:jc w:val="center"/>
        <w:outlineLvl w:val="1"/>
        <w:rPr>
          <w:rFonts w:hint="eastAsia" w:ascii="宋体" w:hAnsi="宋体" w:cs="宋体"/>
          <w:b/>
          <w:bCs/>
          <w:color w:val="auto"/>
          <w:sz w:val="30"/>
          <w:szCs w:val="30"/>
          <w:highlight w:val="none"/>
        </w:rPr>
      </w:pPr>
      <w:bookmarkStart w:id="280" w:name="_Toc2502"/>
      <w:bookmarkStart w:id="281" w:name="_Toc20490"/>
      <w:bookmarkStart w:id="282" w:name="_Toc27040"/>
      <w:bookmarkStart w:id="283" w:name="_Toc27702"/>
      <w:bookmarkStart w:id="284" w:name="_Toc6151"/>
      <w:bookmarkStart w:id="285" w:name="_Toc31344"/>
      <w:bookmarkStart w:id="286" w:name="_Toc27899"/>
      <w:r>
        <w:rPr>
          <w:rFonts w:hint="eastAsia" w:ascii="宋体" w:hAnsi="宋体" w:cs="宋体"/>
          <w:b/>
          <w:bCs/>
          <w:color w:val="auto"/>
          <w:sz w:val="30"/>
          <w:szCs w:val="30"/>
          <w:highlight w:val="none"/>
        </w:rPr>
        <w:t>四、磋商承诺函</w:t>
      </w:r>
      <w:bookmarkEnd w:id="280"/>
      <w:bookmarkEnd w:id="281"/>
      <w:bookmarkEnd w:id="282"/>
      <w:bookmarkEnd w:id="283"/>
      <w:bookmarkEnd w:id="284"/>
      <w:bookmarkEnd w:id="285"/>
      <w:bookmarkEnd w:id="286"/>
    </w:p>
    <w:p w14:paraId="660455ED">
      <w:pPr>
        <w:pageBreakBefore w:val="0"/>
        <w:widowControl w:val="0"/>
        <w:kinsoku/>
        <w:overflowPunct/>
        <w:topLinePunct w:val="0"/>
        <w:autoSpaceDE/>
        <w:autoSpaceDN/>
        <w:bidi w:val="0"/>
        <w:adjustRightInd/>
        <w:spacing w:line="520" w:lineRule="exact"/>
        <w:textAlignment w:val="auto"/>
        <w:rPr>
          <w:rFonts w:hint="eastAsia" w:ascii="宋体" w:hAnsi="宋体"/>
          <w:color w:val="auto"/>
          <w:sz w:val="24"/>
          <w:szCs w:val="24"/>
          <w:highlight w:val="none"/>
        </w:rPr>
      </w:pPr>
    </w:p>
    <w:p w14:paraId="6B865E5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056FA0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4FE2FE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B3282FE">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9A103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27E5A18">
      <w:pPr>
        <w:spacing w:before="312" w:beforeLines="100" w:after="156" w:afterLines="50" w:line="480" w:lineRule="exact"/>
        <w:jc w:val="center"/>
        <w:textAlignment w:val="center"/>
        <w:rPr>
          <w:rFonts w:hint="eastAsia" w:ascii="宋体" w:hAnsi="宋体" w:cs="宋体"/>
          <w:b/>
          <w:bCs/>
          <w:color w:val="auto"/>
          <w:sz w:val="24"/>
          <w:highlight w:val="none"/>
        </w:rPr>
      </w:pPr>
    </w:p>
    <w:p w14:paraId="276CBF22">
      <w:pPr>
        <w:spacing w:before="312" w:beforeLines="100" w:after="156" w:afterLines="50" w:line="480" w:lineRule="exact"/>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0274D55F">
      <w:pPr>
        <w:spacing w:before="312" w:beforeLines="100" w:after="156" w:afterLines="50" w:line="480" w:lineRule="exact"/>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040C9545">
      <w:pPr>
        <w:spacing w:before="312" w:beforeLines="100" w:after="156" w:afterLines="50" w:line="480" w:lineRule="exact"/>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DAAC1BA">
      <w:pPr>
        <w:spacing w:before="312" w:beforeLines="100" w:after="156" w:afterLines="50" w:line="480" w:lineRule="exact"/>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155D933D">
      <w:pPr>
        <w:spacing w:before="312" w:beforeLines="100" w:after="156" w:afterLines="50" w:line="480" w:lineRule="exact"/>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2EF3EDEB">
      <w:pPr>
        <w:spacing w:before="312" w:beforeLines="100" w:after="156" w:afterLines="50" w:line="480" w:lineRule="exact"/>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7ABCE2AC">
      <w:pPr>
        <w:spacing w:before="312" w:beforeLines="100" w:after="156" w:afterLines="50" w:line="480" w:lineRule="exact"/>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1378DC46">
      <w:pPr>
        <w:spacing w:line="0" w:lineRule="atLeast"/>
        <w:jc w:val="center"/>
        <w:rPr>
          <w:rFonts w:hint="eastAsia" w:ascii="宋体" w:hAnsi="宋体" w:cs="宋体"/>
          <w:b/>
          <w:bCs/>
          <w:color w:val="auto"/>
          <w:sz w:val="30"/>
          <w:szCs w:val="30"/>
          <w:highlight w:val="none"/>
        </w:rPr>
      </w:pPr>
    </w:p>
    <w:p w14:paraId="2DBC54B9">
      <w:pPr>
        <w:spacing w:line="0" w:lineRule="atLeast"/>
        <w:jc w:val="center"/>
        <w:rPr>
          <w:rFonts w:hint="eastAsia" w:ascii="宋体" w:hAnsi="宋体" w:cs="宋体"/>
          <w:b/>
          <w:bCs/>
          <w:color w:val="auto"/>
          <w:sz w:val="30"/>
          <w:szCs w:val="30"/>
          <w:highlight w:val="none"/>
        </w:rPr>
      </w:pPr>
    </w:p>
    <w:p w14:paraId="04E4820D">
      <w:pPr>
        <w:rPr>
          <w:rFonts w:hint="eastAsia" w:ascii="宋体" w:hAnsi="宋体" w:cs="宋体"/>
          <w:b/>
          <w:bCs/>
          <w:color w:val="auto"/>
          <w:sz w:val="30"/>
          <w:szCs w:val="30"/>
          <w:highlight w:val="none"/>
        </w:rPr>
      </w:pPr>
      <w:bookmarkStart w:id="287" w:name="_Toc7607"/>
      <w:bookmarkStart w:id="288" w:name="_Toc30826"/>
      <w:bookmarkStart w:id="289" w:name="_Toc6115"/>
      <w:r>
        <w:rPr>
          <w:rFonts w:hint="eastAsia" w:ascii="宋体" w:hAnsi="宋体" w:cs="宋体"/>
          <w:b/>
          <w:bCs/>
          <w:color w:val="auto"/>
          <w:sz w:val="30"/>
          <w:szCs w:val="30"/>
          <w:highlight w:val="none"/>
        </w:rPr>
        <w:br w:type="page"/>
      </w:r>
    </w:p>
    <w:p w14:paraId="3951F789">
      <w:pPr>
        <w:spacing w:line="0" w:lineRule="atLeast"/>
        <w:jc w:val="center"/>
        <w:outlineLvl w:val="1"/>
        <w:rPr>
          <w:rFonts w:hint="eastAsia" w:ascii="宋体" w:hAnsi="宋体" w:eastAsia="宋体" w:cs="宋体"/>
          <w:b/>
          <w:bCs/>
          <w:color w:val="auto"/>
          <w:sz w:val="30"/>
          <w:szCs w:val="30"/>
          <w:highlight w:val="none"/>
          <w:lang w:eastAsia="zh-CN"/>
        </w:rPr>
      </w:pPr>
      <w:bookmarkStart w:id="290" w:name="_Toc19427"/>
      <w:r>
        <w:rPr>
          <w:rFonts w:hint="eastAsia" w:ascii="宋体" w:hAnsi="宋体" w:cs="宋体"/>
          <w:b/>
          <w:bCs/>
          <w:color w:val="auto"/>
          <w:sz w:val="30"/>
          <w:szCs w:val="30"/>
          <w:highlight w:val="none"/>
        </w:rPr>
        <w:t>五、技术</w:t>
      </w:r>
      <w:bookmarkEnd w:id="287"/>
      <w:r>
        <w:rPr>
          <w:rFonts w:hint="eastAsia" w:ascii="宋体" w:hAnsi="宋体" w:cs="宋体"/>
          <w:b/>
          <w:bCs/>
          <w:color w:val="auto"/>
          <w:sz w:val="30"/>
          <w:szCs w:val="30"/>
          <w:highlight w:val="none"/>
          <w:lang w:val="en-US" w:eastAsia="zh-CN"/>
        </w:rPr>
        <w:t>部分</w:t>
      </w:r>
      <w:bookmarkEnd w:id="288"/>
      <w:bookmarkEnd w:id="289"/>
      <w:bookmarkEnd w:id="290"/>
    </w:p>
    <w:p w14:paraId="589CDF03">
      <w:pPr>
        <w:spacing w:line="360" w:lineRule="auto"/>
        <w:ind w:firstLine="560" w:firstLineChars="200"/>
        <w:jc w:val="center"/>
        <w:rPr>
          <w:rFonts w:hint="eastAsia" w:ascii="宋体" w:hAnsi="宋体" w:cs="宋体"/>
          <w:color w:val="auto"/>
          <w:sz w:val="28"/>
          <w:szCs w:val="28"/>
          <w:highlight w:val="none"/>
        </w:rPr>
      </w:pPr>
    </w:p>
    <w:p w14:paraId="67884C6F">
      <w:pPr>
        <w:spacing w:line="360" w:lineRule="auto"/>
        <w:jc w:val="center"/>
        <w:rPr>
          <w:rFonts w:hint="eastAsia" w:ascii="宋体" w:hAnsi="宋体" w:eastAsia="宋体" w:cs="Times New Roman"/>
          <w:color w:val="auto"/>
          <w:sz w:val="24"/>
          <w:szCs w:val="24"/>
          <w:highlight w:val="none"/>
          <w:lang w:eastAsia="zh-CN"/>
        </w:rPr>
        <w:sectPr>
          <w:footerReference r:id="rId9" w:type="default"/>
          <w:pgSz w:w="11906" w:h="16838"/>
          <w:pgMar w:top="1077" w:right="1134" w:bottom="1077" w:left="1134" w:header="851" w:footer="992" w:gutter="0"/>
          <w:pgNumType w:fmt="decimal"/>
          <w:cols w:space="720" w:num="1"/>
          <w:docGrid w:type="lines" w:linePitch="312" w:charSpace="0"/>
        </w:sectPr>
      </w:pP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格式自拟</w:t>
      </w:r>
      <w:r>
        <w:rPr>
          <w:rFonts w:hint="eastAsia" w:ascii="宋体" w:hAnsi="宋体" w:eastAsia="宋体" w:cs="Times New Roman"/>
          <w:color w:val="auto"/>
          <w:sz w:val="24"/>
          <w:szCs w:val="24"/>
          <w:highlight w:val="none"/>
          <w:lang w:eastAsia="zh-CN"/>
        </w:rPr>
        <w:t>）</w:t>
      </w:r>
    </w:p>
    <w:p w14:paraId="600483BB">
      <w:pPr>
        <w:spacing w:line="0" w:lineRule="atLeast"/>
        <w:jc w:val="center"/>
        <w:outlineLvl w:val="1"/>
        <w:rPr>
          <w:rFonts w:hint="eastAsia" w:ascii="宋体" w:hAnsi="宋体" w:cs="宋体"/>
          <w:b/>
          <w:bCs/>
          <w:color w:val="auto"/>
          <w:sz w:val="30"/>
          <w:szCs w:val="30"/>
          <w:highlight w:val="none"/>
        </w:rPr>
      </w:pPr>
      <w:bookmarkStart w:id="291" w:name="_Toc30235_WPSOffice_Level1"/>
      <w:bookmarkStart w:id="292" w:name="_Toc455044845"/>
      <w:bookmarkStart w:id="293" w:name="_Toc293043555"/>
      <w:bookmarkStart w:id="294" w:name="_Toc17099"/>
      <w:bookmarkStart w:id="295" w:name="_Toc14264"/>
      <w:bookmarkStart w:id="296" w:name="_Toc3241"/>
      <w:bookmarkStart w:id="297" w:name="_Toc4123"/>
      <w:bookmarkStart w:id="298" w:name="_Toc21989"/>
      <w:r>
        <w:rPr>
          <w:rFonts w:hint="eastAsia" w:ascii="宋体" w:hAnsi="宋体" w:cs="宋体"/>
          <w:b/>
          <w:bCs/>
          <w:color w:val="auto"/>
          <w:sz w:val="30"/>
          <w:szCs w:val="30"/>
          <w:highlight w:val="none"/>
        </w:rPr>
        <w:t>六、</w:t>
      </w:r>
      <w:bookmarkEnd w:id="291"/>
      <w:bookmarkEnd w:id="292"/>
      <w:bookmarkEnd w:id="293"/>
      <w:bookmarkEnd w:id="294"/>
      <w:r>
        <w:rPr>
          <w:rFonts w:hint="eastAsia" w:ascii="宋体" w:hAnsi="宋体" w:cs="宋体"/>
          <w:b/>
          <w:bCs/>
          <w:color w:val="auto"/>
          <w:sz w:val="30"/>
          <w:szCs w:val="30"/>
          <w:highlight w:val="none"/>
        </w:rPr>
        <w:t>项目组成人员情况表</w:t>
      </w:r>
      <w:bookmarkEnd w:id="295"/>
      <w:bookmarkEnd w:id="296"/>
      <w:bookmarkEnd w:id="297"/>
      <w:bookmarkEnd w:id="298"/>
    </w:p>
    <w:tbl>
      <w:tblPr>
        <w:tblStyle w:val="19"/>
        <w:tblpPr w:leftFromText="180" w:rightFromText="180" w:vertAnchor="text" w:horzAnchor="page" w:tblpX="1778" w:tblpY="642"/>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32"/>
        <w:gridCol w:w="1492"/>
        <w:gridCol w:w="1492"/>
        <w:gridCol w:w="1492"/>
        <w:gridCol w:w="1492"/>
      </w:tblGrid>
      <w:tr w14:paraId="739F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004D3C59">
            <w:pPr>
              <w:jc w:val="center"/>
              <w:rPr>
                <w:rFonts w:ascii="宋体" w:hAnsi="宋体"/>
                <w:color w:val="auto"/>
                <w:highlight w:val="none"/>
              </w:rPr>
            </w:pPr>
            <w:r>
              <w:rPr>
                <w:rFonts w:hint="eastAsia" w:ascii="宋体" w:hAnsi="宋体"/>
                <w:color w:val="auto"/>
                <w:sz w:val="24"/>
                <w:highlight w:val="none"/>
              </w:rPr>
              <w:t>职务</w:t>
            </w:r>
          </w:p>
        </w:tc>
        <w:tc>
          <w:tcPr>
            <w:tcW w:w="1832" w:type="dxa"/>
            <w:tcBorders>
              <w:top w:val="single" w:color="auto" w:sz="4" w:space="0"/>
              <w:left w:val="nil"/>
              <w:bottom w:val="single" w:color="auto" w:sz="4" w:space="0"/>
              <w:right w:val="single" w:color="auto" w:sz="4" w:space="0"/>
            </w:tcBorders>
            <w:noWrap w:val="0"/>
            <w:vAlign w:val="center"/>
          </w:tcPr>
          <w:p w14:paraId="32A9054E">
            <w:pPr>
              <w:jc w:val="center"/>
              <w:rPr>
                <w:rFonts w:ascii="宋体" w:hAnsi="宋体"/>
                <w:color w:val="auto"/>
                <w:highlight w:val="none"/>
              </w:rPr>
            </w:pPr>
            <w:r>
              <w:rPr>
                <w:rFonts w:hint="eastAsia" w:ascii="宋体" w:hAnsi="宋体"/>
                <w:color w:val="auto"/>
                <w:sz w:val="24"/>
                <w:highlight w:val="none"/>
              </w:rPr>
              <w:t>姓名</w:t>
            </w:r>
          </w:p>
        </w:tc>
        <w:tc>
          <w:tcPr>
            <w:tcW w:w="1492" w:type="dxa"/>
            <w:tcBorders>
              <w:top w:val="single" w:color="auto" w:sz="4" w:space="0"/>
              <w:left w:val="nil"/>
              <w:bottom w:val="single" w:color="auto" w:sz="4" w:space="0"/>
              <w:right w:val="single" w:color="auto" w:sz="4" w:space="0"/>
            </w:tcBorders>
            <w:noWrap w:val="0"/>
            <w:vAlign w:val="center"/>
          </w:tcPr>
          <w:p w14:paraId="3AA52411">
            <w:pPr>
              <w:jc w:val="center"/>
              <w:rPr>
                <w:rFonts w:ascii="宋体" w:hAnsi="宋体"/>
                <w:color w:val="auto"/>
                <w:highlight w:val="none"/>
              </w:rPr>
            </w:pPr>
            <w:r>
              <w:rPr>
                <w:rFonts w:hint="eastAsia" w:ascii="宋体" w:hAnsi="宋体"/>
                <w:color w:val="auto"/>
                <w:sz w:val="24"/>
                <w:highlight w:val="none"/>
              </w:rPr>
              <w:t>职称</w:t>
            </w:r>
          </w:p>
        </w:tc>
        <w:tc>
          <w:tcPr>
            <w:tcW w:w="1492" w:type="dxa"/>
            <w:tcBorders>
              <w:top w:val="single" w:color="auto" w:sz="4" w:space="0"/>
              <w:left w:val="nil"/>
              <w:bottom w:val="single" w:color="auto" w:sz="4" w:space="0"/>
              <w:right w:val="single" w:color="auto" w:sz="4" w:space="0"/>
            </w:tcBorders>
            <w:noWrap w:val="0"/>
            <w:vAlign w:val="center"/>
          </w:tcPr>
          <w:p w14:paraId="6F4770A3">
            <w:pPr>
              <w:jc w:val="center"/>
              <w:rPr>
                <w:rFonts w:ascii="宋体" w:hAnsi="宋体"/>
                <w:color w:val="auto"/>
                <w:highlight w:val="none"/>
              </w:rPr>
            </w:pPr>
            <w:r>
              <w:rPr>
                <w:rFonts w:hint="eastAsia" w:ascii="宋体" w:hAnsi="宋体"/>
                <w:color w:val="auto"/>
                <w:sz w:val="24"/>
                <w:highlight w:val="none"/>
              </w:rPr>
              <w:t>证号</w:t>
            </w:r>
          </w:p>
        </w:tc>
        <w:tc>
          <w:tcPr>
            <w:tcW w:w="1492" w:type="dxa"/>
            <w:tcBorders>
              <w:top w:val="single" w:color="auto" w:sz="4" w:space="0"/>
              <w:left w:val="nil"/>
              <w:bottom w:val="single" w:color="auto" w:sz="4" w:space="0"/>
              <w:right w:val="single" w:color="auto" w:sz="4" w:space="0"/>
            </w:tcBorders>
            <w:noWrap w:val="0"/>
            <w:vAlign w:val="center"/>
          </w:tcPr>
          <w:p w14:paraId="72FFAEA1">
            <w:pPr>
              <w:jc w:val="center"/>
              <w:rPr>
                <w:rFonts w:ascii="宋体" w:hAnsi="宋体"/>
                <w:color w:val="auto"/>
                <w:highlight w:val="none"/>
              </w:rPr>
            </w:pPr>
            <w:r>
              <w:rPr>
                <w:rFonts w:hint="eastAsia" w:ascii="宋体" w:hAnsi="宋体"/>
                <w:color w:val="auto"/>
                <w:sz w:val="21"/>
                <w:szCs w:val="21"/>
                <w:highlight w:val="none"/>
              </w:rPr>
              <w:t>养老</w:t>
            </w:r>
            <w:r>
              <w:rPr>
                <w:rFonts w:hint="eastAsia" w:ascii="宋体" w:hAnsi="宋体"/>
                <w:color w:val="auto"/>
                <w:sz w:val="24"/>
                <w:highlight w:val="none"/>
              </w:rPr>
              <w:t>保险</w:t>
            </w:r>
          </w:p>
        </w:tc>
        <w:tc>
          <w:tcPr>
            <w:tcW w:w="1492" w:type="dxa"/>
            <w:tcBorders>
              <w:top w:val="single" w:color="auto" w:sz="4" w:space="0"/>
              <w:left w:val="nil"/>
              <w:bottom w:val="single" w:color="auto" w:sz="4" w:space="0"/>
              <w:right w:val="single" w:color="auto" w:sz="4" w:space="0"/>
            </w:tcBorders>
            <w:noWrap w:val="0"/>
            <w:vAlign w:val="center"/>
          </w:tcPr>
          <w:p w14:paraId="45F0F14F">
            <w:pPr>
              <w:jc w:val="center"/>
              <w:rPr>
                <w:rFonts w:ascii="宋体" w:hAnsi="宋体"/>
                <w:color w:val="auto"/>
                <w:highlight w:val="none"/>
              </w:rPr>
            </w:pPr>
            <w:r>
              <w:rPr>
                <w:rFonts w:hint="eastAsia" w:ascii="宋体" w:hAnsi="宋体"/>
                <w:color w:val="auto"/>
                <w:sz w:val="24"/>
                <w:highlight w:val="none"/>
              </w:rPr>
              <w:t>备注</w:t>
            </w:r>
          </w:p>
        </w:tc>
      </w:tr>
      <w:tr w14:paraId="4497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18D944FC">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1469100B">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50B636F">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16C8BD34">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BD65337">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52C602B">
            <w:pPr>
              <w:jc w:val="center"/>
              <w:rPr>
                <w:rFonts w:ascii="宋体" w:hAnsi="宋体"/>
                <w:color w:val="auto"/>
                <w:highlight w:val="none"/>
              </w:rPr>
            </w:pPr>
          </w:p>
        </w:tc>
      </w:tr>
      <w:tr w14:paraId="5A1E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37B2041E">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6A1930C4">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0C3CD41D">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1540C997">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004A435">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F2C5AB2">
            <w:pPr>
              <w:jc w:val="center"/>
              <w:rPr>
                <w:rFonts w:ascii="宋体" w:hAnsi="宋体"/>
                <w:color w:val="auto"/>
                <w:highlight w:val="none"/>
              </w:rPr>
            </w:pPr>
          </w:p>
        </w:tc>
      </w:tr>
      <w:tr w14:paraId="17C8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74C57A6E">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78F6C9B7">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214B402F">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4D576169">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2D5A3889">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249AEB1">
            <w:pPr>
              <w:jc w:val="center"/>
              <w:rPr>
                <w:rFonts w:ascii="宋体" w:hAnsi="宋体"/>
                <w:color w:val="auto"/>
                <w:highlight w:val="none"/>
              </w:rPr>
            </w:pPr>
          </w:p>
        </w:tc>
      </w:tr>
      <w:tr w14:paraId="4BED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5C7D5BD5">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78010A24">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6B266886">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65AA86C2">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11AC8812">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7A8D1BCC">
            <w:pPr>
              <w:jc w:val="center"/>
              <w:rPr>
                <w:rFonts w:ascii="宋体" w:hAnsi="宋体"/>
                <w:color w:val="auto"/>
                <w:highlight w:val="none"/>
              </w:rPr>
            </w:pPr>
          </w:p>
        </w:tc>
      </w:tr>
      <w:tr w14:paraId="3FFF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262561A0">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4DADD5F5">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7E9D38AD">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1013ACCE">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498D5B5">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64C3C7DC">
            <w:pPr>
              <w:jc w:val="center"/>
              <w:rPr>
                <w:rFonts w:ascii="宋体" w:hAnsi="宋体"/>
                <w:color w:val="auto"/>
                <w:highlight w:val="none"/>
              </w:rPr>
            </w:pPr>
          </w:p>
        </w:tc>
      </w:tr>
      <w:tr w14:paraId="44AB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0CA79BEC">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7BB5E8F2">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43A39A21">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1E5021D">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B0052E6">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017904C4">
            <w:pPr>
              <w:jc w:val="center"/>
              <w:rPr>
                <w:rFonts w:ascii="宋体" w:hAnsi="宋体"/>
                <w:color w:val="auto"/>
                <w:highlight w:val="none"/>
              </w:rPr>
            </w:pPr>
          </w:p>
        </w:tc>
      </w:tr>
      <w:tr w14:paraId="00F4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65ABB1DA">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36D1ED43">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F3A6DF8">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203D3145">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4D268A01">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35B29323">
            <w:pPr>
              <w:jc w:val="center"/>
              <w:rPr>
                <w:rFonts w:ascii="宋体" w:hAnsi="宋体"/>
                <w:color w:val="auto"/>
                <w:highlight w:val="none"/>
              </w:rPr>
            </w:pPr>
          </w:p>
        </w:tc>
      </w:tr>
      <w:tr w14:paraId="1659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98" w:type="dxa"/>
            <w:tcBorders>
              <w:top w:val="single" w:color="auto" w:sz="4" w:space="0"/>
              <w:left w:val="single" w:color="auto" w:sz="4" w:space="0"/>
              <w:bottom w:val="single" w:color="auto" w:sz="4" w:space="0"/>
              <w:right w:val="single" w:color="auto" w:sz="4" w:space="0"/>
            </w:tcBorders>
            <w:noWrap w:val="0"/>
            <w:vAlign w:val="center"/>
          </w:tcPr>
          <w:p w14:paraId="69AF1CE1">
            <w:pPr>
              <w:jc w:val="center"/>
              <w:rPr>
                <w:rFonts w:ascii="宋体" w:hAnsi="宋体"/>
                <w:color w:val="auto"/>
                <w:highlight w:val="none"/>
              </w:rPr>
            </w:pPr>
          </w:p>
        </w:tc>
        <w:tc>
          <w:tcPr>
            <w:tcW w:w="1832" w:type="dxa"/>
            <w:tcBorders>
              <w:top w:val="single" w:color="auto" w:sz="4" w:space="0"/>
              <w:left w:val="nil"/>
              <w:bottom w:val="single" w:color="auto" w:sz="4" w:space="0"/>
              <w:right w:val="single" w:color="auto" w:sz="4" w:space="0"/>
            </w:tcBorders>
            <w:noWrap w:val="0"/>
            <w:vAlign w:val="center"/>
          </w:tcPr>
          <w:p w14:paraId="4784FAA9">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4A8B6ACF">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15FEB692">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4E0117B8">
            <w:pPr>
              <w:jc w:val="center"/>
              <w:rPr>
                <w:rFonts w:ascii="宋体" w:hAnsi="宋体"/>
                <w:color w:val="auto"/>
                <w:highlight w:val="none"/>
              </w:rPr>
            </w:pPr>
          </w:p>
        </w:tc>
        <w:tc>
          <w:tcPr>
            <w:tcW w:w="1492" w:type="dxa"/>
            <w:tcBorders>
              <w:top w:val="single" w:color="auto" w:sz="4" w:space="0"/>
              <w:left w:val="nil"/>
              <w:bottom w:val="single" w:color="auto" w:sz="4" w:space="0"/>
              <w:right w:val="single" w:color="auto" w:sz="4" w:space="0"/>
            </w:tcBorders>
            <w:noWrap w:val="0"/>
            <w:vAlign w:val="center"/>
          </w:tcPr>
          <w:p w14:paraId="53B80458">
            <w:pPr>
              <w:jc w:val="center"/>
              <w:rPr>
                <w:rFonts w:ascii="宋体" w:hAnsi="宋体"/>
                <w:color w:val="auto"/>
                <w:highlight w:val="none"/>
              </w:rPr>
            </w:pPr>
          </w:p>
        </w:tc>
      </w:tr>
    </w:tbl>
    <w:p w14:paraId="66DD833B">
      <w:pPr>
        <w:spacing w:before="138"/>
        <w:jc w:val="left"/>
        <w:rPr>
          <w:rFonts w:hint="eastAsia"/>
          <w:b/>
          <w:color w:val="auto"/>
          <w:sz w:val="24"/>
          <w:highlight w:val="none"/>
        </w:rPr>
      </w:pPr>
    </w:p>
    <w:p w14:paraId="6253D80F">
      <w:pPr>
        <w:spacing w:before="138"/>
        <w:ind w:firstLine="482" w:firstLineChars="200"/>
        <w:jc w:val="left"/>
        <w:rPr>
          <w:b/>
          <w:color w:val="auto"/>
          <w:sz w:val="24"/>
          <w:highlight w:val="none"/>
        </w:rPr>
      </w:pPr>
      <w:r>
        <w:rPr>
          <w:rFonts w:hint="eastAsia"/>
          <w:b/>
          <w:color w:val="auto"/>
          <w:sz w:val="24"/>
          <w:highlight w:val="none"/>
        </w:rPr>
        <w:t>需要在标书中附上相关证明材料.</w:t>
      </w:r>
    </w:p>
    <w:p w14:paraId="58C89592">
      <w:pPr>
        <w:spacing w:line="360" w:lineRule="auto"/>
        <w:jc w:val="center"/>
        <w:rPr>
          <w:rFonts w:hint="eastAsia" w:ascii="宋体" w:hAnsi="宋体" w:cs="宋体"/>
          <w:b/>
          <w:color w:val="auto"/>
          <w:sz w:val="28"/>
          <w:szCs w:val="28"/>
          <w:highlight w:val="none"/>
        </w:rPr>
      </w:pPr>
    </w:p>
    <w:p w14:paraId="34194486">
      <w:pPr>
        <w:spacing w:line="360" w:lineRule="auto"/>
        <w:jc w:val="center"/>
        <w:rPr>
          <w:rFonts w:hint="eastAsia" w:ascii="宋体" w:hAnsi="宋体" w:cs="宋体"/>
          <w:b/>
          <w:color w:val="auto"/>
          <w:sz w:val="28"/>
          <w:szCs w:val="28"/>
          <w:highlight w:val="none"/>
        </w:rPr>
      </w:pPr>
    </w:p>
    <w:p w14:paraId="3226E72B">
      <w:pPr>
        <w:spacing w:line="360" w:lineRule="auto"/>
        <w:jc w:val="center"/>
        <w:rPr>
          <w:rFonts w:hint="eastAsia" w:ascii="宋体" w:hAnsi="宋体" w:cs="宋体"/>
          <w:b/>
          <w:color w:val="auto"/>
          <w:sz w:val="28"/>
          <w:szCs w:val="28"/>
          <w:highlight w:val="none"/>
        </w:rPr>
      </w:pPr>
    </w:p>
    <w:p w14:paraId="0993C4C2">
      <w:pPr>
        <w:spacing w:line="360" w:lineRule="auto"/>
        <w:jc w:val="center"/>
        <w:rPr>
          <w:rFonts w:hint="eastAsia" w:ascii="宋体" w:hAnsi="宋体" w:cs="宋体"/>
          <w:b/>
          <w:color w:val="auto"/>
          <w:sz w:val="28"/>
          <w:szCs w:val="28"/>
          <w:highlight w:val="none"/>
        </w:rPr>
      </w:pPr>
    </w:p>
    <w:p w14:paraId="4B9F8F18">
      <w:pPr>
        <w:spacing w:line="360" w:lineRule="auto"/>
        <w:jc w:val="center"/>
        <w:rPr>
          <w:rFonts w:hint="eastAsia" w:ascii="宋体" w:hAnsi="宋体" w:cs="宋体"/>
          <w:b/>
          <w:color w:val="auto"/>
          <w:sz w:val="28"/>
          <w:szCs w:val="28"/>
          <w:highlight w:val="none"/>
        </w:rPr>
      </w:pPr>
    </w:p>
    <w:p w14:paraId="0AD78B7D">
      <w:pPr>
        <w:spacing w:line="360" w:lineRule="auto"/>
        <w:jc w:val="center"/>
        <w:rPr>
          <w:rFonts w:hint="eastAsia" w:ascii="宋体" w:hAnsi="宋体" w:cs="宋体"/>
          <w:b/>
          <w:color w:val="auto"/>
          <w:sz w:val="28"/>
          <w:szCs w:val="28"/>
          <w:highlight w:val="none"/>
        </w:rPr>
      </w:pPr>
    </w:p>
    <w:p w14:paraId="49D954AB">
      <w:pPr>
        <w:spacing w:line="0" w:lineRule="atLeast"/>
        <w:jc w:val="center"/>
        <w:rPr>
          <w:rFonts w:hint="eastAsia" w:ascii="宋体" w:hAnsi="宋体" w:cs="宋体"/>
          <w:b/>
          <w:bCs/>
          <w:color w:val="auto"/>
          <w:sz w:val="30"/>
          <w:szCs w:val="30"/>
          <w:highlight w:val="none"/>
        </w:rPr>
      </w:pPr>
      <w:bookmarkStart w:id="299" w:name="_Toc293043556"/>
      <w:bookmarkStart w:id="300" w:name="_Toc455044846"/>
      <w:bookmarkStart w:id="301" w:name="_Toc18610"/>
      <w:bookmarkStart w:id="302" w:name="_Toc27335_WPSOffice_Level1"/>
    </w:p>
    <w:p w14:paraId="17E351DC">
      <w:pPr>
        <w:spacing w:line="0" w:lineRule="atLeast"/>
        <w:jc w:val="center"/>
        <w:rPr>
          <w:rFonts w:hint="eastAsia" w:ascii="宋体" w:hAnsi="宋体" w:cs="宋体"/>
          <w:b/>
          <w:bCs/>
          <w:color w:val="auto"/>
          <w:sz w:val="30"/>
          <w:szCs w:val="30"/>
          <w:highlight w:val="none"/>
        </w:rPr>
      </w:pPr>
    </w:p>
    <w:p w14:paraId="5278658B">
      <w:pPr>
        <w:rPr>
          <w:rFonts w:hint="eastAsia" w:ascii="宋体" w:hAnsi="宋体" w:cs="宋体"/>
          <w:b/>
          <w:bCs/>
          <w:color w:val="auto"/>
          <w:sz w:val="30"/>
          <w:szCs w:val="30"/>
          <w:highlight w:val="none"/>
        </w:rPr>
      </w:pPr>
      <w:bookmarkStart w:id="303" w:name="_Toc15086"/>
      <w:bookmarkStart w:id="304" w:name="_Toc9639"/>
      <w:bookmarkStart w:id="305" w:name="_Toc30024"/>
      <w:r>
        <w:rPr>
          <w:rFonts w:hint="eastAsia" w:ascii="宋体" w:hAnsi="宋体" w:cs="宋体"/>
          <w:b/>
          <w:bCs/>
          <w:color w:val="auto"/>
          <w:sz w:val="30"/>
          <w:szCs w:val="30"/>
          <w:highlight w:val="none"/>
        </w:rPr>
        <w:br w:type="page"/>
      </w:r>
    </w:p>
    <w:p w14:paraId="2B467BEE">
      <w:pPr>
        <w:spacing w:line="0" w:lineRule="atLeast"/>
        <w:jc w:val="center"/>
        <w:outlineLvl w:val="1"/>
        <w:rPr>
          <w:rFonts w:hint="eastAsia" w:ascii="宋体" w:hAnsi="宋体" w:cs="宋体"/>
          <w:b/>
          <w:bCs/>
          <w:color w:val="auto"/>
          <w:sz w:val="30"/>
          <w:szCs w:val="30"/>
          <w:highlight w:val="none"/>
        </w:rPr>
      </w:pPr>
      <w:bookmarkStart w:id="306" w:name="_Toc4270"/>
      <w:r>
        <w:rPr>
          <w:rFonts w:hint="eastAsia" w:ascii="宋体" w:hAnsi="宋体" w:cs="宋体"/>
          <w:b/>
          <w:bCs/>
          <w:color w:val="auto"/>
          <w:sz w:val="30"/>
          <w:szCs w:val="30"/>
          <w:highlight w:val="none"/>
        </w:rPr>
        <w:t>七、资格审查资料</w:t>
      </w:r>
      <w:bookmarkEnd w:id="299"/>
      <w:bookmarkEnd w:id="300"/>
      <w:bookmarkEnd w:id="301"/>
      <w:bookmarkEnd w:id="302"/>
      <w:bookmarkEnd w:id="303"/>
      <w:bookmarkEnd w:id="304"/>
      <w:bookmarkEnd w:id="305"/>
      <w:bookmarkEnd w:id="306"/>
    </w:p>
    <w:p w14:paraId="0B439A3C">
      <w:pPr>
        <w:spacing w:line="360" w:lineRule="auto"/>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lang w:val="zh-CN" w:bidi="zh-CN"/>
        </w:rPr>
        <w:t>（一）基本情况表</w:t>
      </w:r>
    </w:p>
    <w:p w14:paraId="0C4C5A92">
      <w:pPr>
        <w:autoSpaceDE w:val="0"/>
        <w:autoSpaceDN w:val="0"/>
        <w:spacing w:before="6" w:after="1"/>
        <w:rPr>
          <w:rFonts w:ascii="宋体" w:hAnsi="宋体" w:cs="宋体"/>
          <w:b/>
          <w:color w:val="auto"/>
          <w:sz w:val="18"/>
          <w:szCs w:val="21"/>
          <w:highlight w:val="none"/>
          <w:lang w:val="zh-CN" w:bidi="zh-CN"/>
        </w:rPr>
      </w:pPr>
    </w:p>
    <w:tbl>
      <w:tblPr>
        <w:tblStyle w:val="19"/>
        <w:tblW w:w="92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5"/>
        <w:gridCol w:w="941"/>
        <w:gridCol w:w="885"/>
        <w:gridCol w:w="1110"/>
        <w:gridCol w:w="792"/>
        <w:gridCol w:w="877"/>
        <w:gridCol w:w="849"/>
        <w:gridCol w:w="290"/>
        <w:gridCol w:w="1377"/>
      </w:tblGrid>
      <w:tr w14:paraId="035A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7D580F83">
            <w:pPr>
              <w:autoSpaceDE w:val="0"/>
              <w:autoSpaceDN w:val="0"/>
              <w:spacing w:before="128"/>
              <w:ind w:left="599"/>
              <w:rPr>
                <w:rFonts w:ascii="宋体" w:hAnsi="宋体" w:cs="宋体"/>
                <w:color w:val="auto"/>
                <w:highlight w:val="none"/>
                <w:lang w:val="zh-CN" w:eastAsia="en-US" w:bidi="zh-CN"/>
              </w:rPr>
            </w:pPr>
            <w:r>
              <w:rPr>
                <w:rFonts w:hint="eastAsia" w:ascii="宋体" w:hAnsi="宋体" w:cs="宋体"/>
                <w:color w:val="auto"/>
                <w:highlight w:val="none"/>
                <w:lang w:val="zh-CN" w:eastAsia="en-US" w:bidi="zh-CN"/>
              </w:rPr>
              <w:t>响应人</w:t>
            </w:r>
            <w:r>
              <w:rPr>
                <w:rFonts w:ascii="宋体" w:hAnsi="宋体" w:cs="宋体"/>
                <w:color w:val="auto"/>
                <w:highlight w:val="none"/>
                <w:lang w:val="zh-CN" w:eastAsia="en-US" w:bidi="zh-CN"/>
              </w:rPr>
              <w:t>名称</w:t>
            </w:r>
          </w:p>
        </w:tc>
        <w:tc>
          <w:tcPr>
            <w:tcW w:w="7121" w:type="dxa"/>
            <w:gridSpan w:val="8"/>
            <w:noWrap w:val="0"/>
            <w:vAlign w:val="top"/>
          </w:tcPr>
          <w:p w14:paraId="3745BD8B">
            <w:pPr>
              <w:autoSpaceDE w:val="0"/>
              <w:autoSpaceDN w:val="0"/>
              <w:rPr>
                <w:rFonts w:hAnsi="宋体" w:cs="宋体"/>
                <w:color w:val="auto"/>
                <w:sz w:val="20"/>
                <w:highlight w:val="none"/>
                <w:lang w:val="zh-CN" w:eastAsia="en-US" w:bidi="zh-CN"/>
              </w:rPr>
            </w:pPr>
          </w:p>
        </w:tc>
      </w:tr>
      <w:tr w14:paraId="0B79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6E432928">
            <w:pPr>
              <w:autoSpaceDE w:val="0"/>
              <w:autoSpaceDN w:val="0"/>
              <w:spacing w:before="130"/>
              <w:ind w:left="705"/>
              <w:rPr>
                <w:rFonts w:ascii="宋体" w:hAnsi="宋体" w:cs="宋体"/>
                <w:color w:val="auto"/>
                <w:highlight w:val="none"/>
                <w:lang w:val="zh-CN" w:eastAsia="en-US" w:bidi="zh-CN"/>
              </w:rPr>
            </w:pPr>
            <w:r>
              <w:rPr>
                <w:rFonts w:ascii="宋体" w:hAnsi="宋体" w:cs="宋体"/>
                <w:color w:val="auto"/>
                <w:highlight w:val="none"/>
                <w:lang w:val="zh-CN" w:eastAsia="en-US" w:bidi="zh-CN"/>
              </w:rPr>
              <w:t>注册地址</w:t>
            </w:r>
          </w:p>
        </w:tc>
        <w:tc>
          <w:tcPr>
            <w:tcW w:w="2936" w:type="dxa"/>
            <w:gridSpan w:val="3"/>
            <w:noWrap w:val="0"/>
            <w:vAlign w:val="top"/>
          </w:tcPr>
          <w:p w14:paraId="6D007C4D">
            <w:pPr>
              <w:autoSpaceDE w:val="0"/>
              <w:autoSpaceDN w:val="0"/>
              <w:rPr>
                <w:rFonts w:hAnsi="宋体" w:cs="宋体"/>
                <w:color w:val="auto"/>
                <w:sz w:val="20"/>
                <w:highlight w:val="none"/>
                <w:lang w:val="zh-CN" w:eastAsia="en-US" w:bidi="zh-CN"/>
              </w:rPr>
            </w:pPr>
          </w:p>
        </w:tc>
        <w:tc>
          <w:tcPr>
            <w:tcW w:w="1669" w:type="dxa"/>
            <w:gridSpan w:val="2"/>
            <w:noWrap w:val="0"/>
            <w:vAlign w:val="top"/>
          </w:tcPr>
          <w:p w14:paraId="314FEE54">
            <w:pPr>
              <w:autoSpaceDE w:val="0"/>
              <w:autoSpaceDN w:val="0"/>
              <w:spacing w:before="130"/>
              <w:ind w:left="223"/>
              <w:rPr>
                <w:rFonts w:ascii="宋体" w:hAnsi="宋体" w:cs="宋体"/>
                <w:color w:val="auto"/>
                <w:highlight w:val="none"/>
                <w:lang w:val="zh-CN" w:eastAsia="en-US" w:bidi="zh-CN"/>
              </w:rPr>
            </w:pPr>
            <w:r>
              <w:rPr>
                <w:rFonts w:ascii="宋体" w:hAnsi="宋体" w:cs="宋体"/>
                <w:color w:val="auto"/>
                <w:highlight w:val="none"/>
                <w:lang w:val="zh-CN" w:eastAsia="en-US" w:bidi="zh-CN"/>
              </w:rPr>
              <w:t>邮政编码</w:t>
            </w:r>
          </w:p>
        </w:tc>
        <w:tc>
          <w:tcPr>
            <w:tcW w:w="2516" w:type="dxa"/>
            <w:gridSpan w:val="3"/>
            <w:noWrap w:val="0"/>
            <w:vAlign w:val="top"/>
          </w:tcPr>
          <w:p w14:paraId="31B5BB31">
            <w:pPr>
              <w:autoSpaceDE w:val="0"/>
              <w:autoSpaceDN w:val="0"/>
              <w:rPr>
                <w:rFonts w:hAnsi="宋体" w:cs="宋体"/>
                <w:color w:val="auto"/>
                <w:sz w:val="20"/>
                <w:highlight w:val="none"/>
                <w:lang w:val="zh-CN" w:eastAsia="en-US" w:bidi="zh-CN"/>
              </w:rPr>
            </w:pPr>
          </w:p>
        </w:tc>
      </w:tr>
      <w:tr w14:paraId="03F27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vMerge w:val="restart"/>
            <w:noWrap w:val="0"/>
            <w:vAlign w:val="top"/>
          </w:tcPr>
          <w:p w14:paraId="4C8B5C2A">
            <w:pPr>
              <w:autoSpaceDE w:val="0"/>
              <w:autoSpaceDN w:val="0"/>
              <w:spacing w:before="5"/>
              <w:rPr>
                <w:rFonts w:ascii="宋体" w:hAnsi="宋体" w:cs="宋体"/>
                <w:b/>
                <w:color w:val="auto"/>
                <w:sz w:val="24"/>
                <w:highlight w:val="none"/>
                <w:lang w:val="zh-CN" w:eastAsia="en-US" w:bidi="zh-CN"/>
              </w:rPr>
            </w:pPr>
          </w:p>
          <w:p w14:paraId="3148AC1D">
            <w:pPr>
              <w:autoSpaceDE w:val="0"/>
              <w:autoSpaceDN w:val="0"/>
              <w:ind w:left="602"/>
              <w:rPr>
                <w:rFonts w:ascii="宋体" w:hAnsi="宋体" w:cs="宋体"/>
                <w:color w:val="auto"/>
                <w:highlight w:val="none"/>
                <w:lang w:val="zh-CN" w:eastAsia="en-US" w:bidi="zh-CN"/>
              </w:rPr>
            </w:pPr>
            <w:r>
              <w:rPr>
                <w:rFonts w:ascii="宋体" w:hAnsi="宋体" w:cs="宋体"/>
                <w:color w:val="auto"/>
                <w:highlight w:val="none"/>
                <w:lang w:val="zh-CN" w:eastAsia="en-US" w:bidi="zh-CN"/>
              </w:rPr>
              <w:t>联系方式</w:t>
            </w:r>
          </w:p>
        </w:tc>
        <w:tc>
          <w:tcPr>
            <w:tcW w:w="941" w:type="dxa"/>
            <w:noWrap w:val="0"/>
            <w:vAlign w:val="top"/>
          </w:tcPr>
          <w:p w14:paraId="088990B0">
            <w:pPr>
              <w:autoSpaceDE w:val="0"/>
              <w:autoSpaceDN w:val="0"/>
              <w:spacing w:before="128"/>
              <w:ind w:left="13"/>
              <w:jc w:val="center"/>
              <w:rPr>
                <w:rFonts w:ascii="宋体" w:hAnsi="宋体" w:cs="宋体"/>
                <w:color w:val="auto"/>
                <w:highlight w:val="none"/>
                <w:lang w:val="zh-CN" w:eastAsia="en-US" w:bidi="zh-CN"/>
              </w:rPr>
            </w:pPr>
            <w:r>
              <w:rPr>
                <w:rFonts w:ascii="宋体" w:hAnsi="宋体" w:cs="宋体"/>
                <w:color w:val="auto"/>
                <w:highlight w:val="none"/>
                <w:lang w:val="zh-CN" w:eastAsia="en-US" w:bidi="zh-CN"/>
              </w:rPr>
              <w:t>联系人</w:t>
            </w:r>
          </w:p>
        </w:tc>
        <w:tc>
          <w:tcPr>
            <w:tcW w:w="1995" w:type="dxa"/>
            <w:gridSpan w:val="2"/>
            <w:noWrap w:val="0"/>
            <w:vAlign w:val="top"/>
          </w:tcPr>
          <w:p w14:paraId="4F5A35AC">
            <w:pPr>
              <w:autoSpaceDE w:val="0"/>
              <w:autoSpaceDN w:val="0"/>
              <w:rPr>
                <w:rFonts w:hAnsi="宋体" w:cs="宋体"/>
                <w:color w:val="auto"/>
                <w:sz w:val="20"/>
                <w:highlight w:val="none"/>
                <w:lang w:val="zh-CN" w:eastAsia="en-US" w:bidi="zh-CN"/>
              </w:rPr>
            </w:pPr>
          </w:p>
        </w:tc>
        <w:tc>
          <w:tcPr>
            <w:tcW w:w="1669" w:type="dxa"/>
            <w:gridSpan w:val="2"/>
            <w:noWrap w:val="0"/>
            <w:vAlign w:val="top"/>
          </w:tcPr>
          <w:p w14:paraId="15F033B3">
            <w:pPr>
              <w:autoSpaceDE w:val="0"/>
              <w:autoSpaceDN w:val="0"/>
              <w:spacing w:before="128"/>
              <w:ind w:left="381"/>
              <w:rPr>
                <w:rFonts w:ascii="宋体" w:hAnsi="宋体" w:cs="宋体"/>
                <w:color w:val="auto"/>
                <w:highlight w:val="none"/>
                <w:lang w:val="zh-CN" w:eastAsia="en-US" w:bidi="zh-CN"/>
              </w:rPr>
            </w:pPr>
            <w:r>
              <w:rPr>
                <w:rFonts w:ascii="宋体" w:hAnsi="宋体" w:cs="宋体"/>
                <w:color w:val="auto"/>
                <w:highlight w:val="none"/>
                <w:lang w:val="zh-CN" w:eastAsia="en-US" w:bidi="zh-CN"/>
              </w:rPr>
              <w:t>电 话</w:t>
            </w:r>
          </w:p>
        </w:tc>
        <w:tc>
          <w:tcPr>
            <w:tcW w:w="2516" w:type="dxa"/>
            <w:gridSpan w:val="3"/>
            <w:noWrap w:val="0"/>
            <w:vAlign w:val="top"/>
          </w:tcPr>
          <w:p w14:paraId="2E914F98">
            <w:pPr>
              <w:autoSpaceDE w:val="0"/>
              <w:autoSpaceDN w:val="0"/>
              <w:rPr>
                <w:rFonts w:hAnsi="宋体" w:cs="宋体"/>
                <w:color w:val="auto"/>
                <w:sz w:val="20"/>
                <w:highlight w:val="none"/>
                <w:lang w:val="zh-CN" w:eastAsia="en-US" w:bidi="zh-CN"/>
              </w:rPr>
            </w:pPr>
          </w:p>
        </w:tc>
      </w:tr>
      <w:tr w14:paraId="15970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vMerge w:val="continue"/>
            <w:tcBorders>
              <w:top w:val="nil"/>
            </w:tcBorders>
            <w:noWrap w:val="0"/>
            <w:vAlign w:val="top"/>
          </w:tcPr>
          <w:p w14:paraId="2F3ECE01">
            <w:pPr>
              <w:autoSpaceDE w:val="0"/>
              <w:autoSpaceDN w:val="0"/>
              <w:rPr>
                <w:rFonts w:ascii="宋体" w:hAnsi="宋体" w:cs="宋体"/>
                <w:color w:val="auto"/>
                <w:sz w:val="2"/>
                <w:szCs w:val="2"/>
                <w:highlight w:val="none"/>
                <w:lang w:val="zh-CN" w:eastAsia="en-US" w:bidi="zh-CN"/>
              </w:rPr>
            </w:pPr>
          </w:p>
        </w:tc>
        <w:tc>
          <w:tcPr>
            <w:tcW w:w="941" w:type="dxa"/>
            <w:noWrap w:val="0"/>
            <w:vAlign w:val="top"/>
          </w:tcPr>
          <w:p w14:paraId="2E94D54C">
            <w:pPr>
              <w:tabs>
                <w:tab w:val="left" w:pos="430"/>
              </w:tabs>
              <w:autoSpaceDE w:val="0"/>
              <w:autoSpaceDN w:val="0"/>
              <w:spacing w:before="130"/>
              <w:ind w:left="10"/>
              <w:jc w:val="center"/>
              <w:rPr>
                <w:rFonts w:ascii="宋体" w:hAnsi="宋体" w:cs="宋体"/>
                <w:color w:val="auto"/>
                <w:highlight w:val="none"/>
                <w:lang w:val="zh-CN" w:eastAsia="en-US" w:bidi="zh-CN"/>
              </w:rPr>
            </w:pPr>
            <w:r>
              <w:rPr>
                <w:rFonts w:ascii="宋体" w:hAnsi="宋体" w:cs="宋体"/>
                <w:color w:val="auto"/>
                <w:highlight w:val="none"/>
                <w:lang w:val="zh-CN" w:eastAsia="en-US" w:bidi="zh-CN"/>
              </w:rPr>
              <w:t>传</w:t>
            </w:r>
            <w:r>
              <w:rPr>
                <w:rFonts w:ascii="宋体" w:hAnsi="宋体" w:cs="宋体"/>
                <w:color w:val="auto"/>
                <w:highlight w:val="none"/>
                <w:lang w:val="zh-CN" w:eastAsia="en-US" w:bidi="zh-CN"/>
              </w:rPr>
              <w:tab/>
            </w:r>
            <w:r>
              <w:rPr>
                <w:rFonts w:ascii="宋体" w:hAnsi="宋体" w:cs="宋体"/>
                <w:color w:val="auto"/>
                <w:highlight w:val="none"/>
                <w:lang w:val="zh-CN" w:eastAsia="en-US" w:bidi="zh-CN"/>
              </w:rPr>
              <w:t>真</w:t>
            </w:r>
          </w:p>
        </w:tc>
        <w:tc>
          <w:tcPr>
            <w:tcW w:w="1995" w:type="dxa"/>
            <w:gridSpan w:val="2"/>
            <w:noWrap w:val="0"/>
            <w:vAlign w:val="top"/>
          </w:tcPr>
          <w:p w14:paraId="4432759C">
            <w:pPr>
              <w:autoSpaceDE w:val="0"/>
              <w:autoSpaceDN w:val="0"/>
              <w:rPr>
                <w:rFonts w:hAnsi="宋体" w:cs="宋体"/>
                <w:color w:val="auto"/>
                <w:sz w:val="20"/>
                <w:highlight w:val="none"/>
                <w:lang w:val="zh-CN" w:eastAsia="en-US" w:bidi="zh-CN"/>
              </w:rPr>
            </w:pPr>
          </w:p>
        </w:tc>
        <w:tc>
          <w:tcPr>
            <w:tcW w:w="1669" w:type="dxa"/>
            <w:gridSpan w:val="2"/>
            <w:noWrap w:val="0"/>
            <w:vAlign w:val="top"/>
          </w:tcPr>
          <w:p w14:paraId="6BA08875">
            <w:pPr>
              <w:autoSpaceDE w:val="0"/>
              <w:autoSpaceDN w:val="0"/>
              <w:spacing w:before="130"/>
              <w:ind w:left="381"/>
              <w:rPr>
                <w:rFonts w:ascii="宋体" w:hAnsi="宋体" w:cs="宋体"/>
                <w:color w:val="auto"/>
                <w:highlight w:val="none"/>
                <w:lang w:val="zh-CN" w:eastAsia="en-US" w:bidi="zh-CN"/>
              </w:rPr>
            </w:pPr>
            <w:r>
              <w:rPr>
                <w:rFonts w:ascii="宋体" w:hAnsi="宋体" w:cs="宋体"/>
                <w:color w:val="auto"/>
                <w:highlight w:val="none"/>
                <w:lang w:val="zh-CN" w:eastAsia="en-US" w:bidi="zh-CN"/>
              </w:rPr>
              <w:t>网 址</w:t>
            </w:r>
          </w:p>
        </w:tc>
        <w:tc>
          <w:tcPr>
            <w:tcW w:w="2516" w:type="dxa"/>
            <w:gridSpan w:val="3"/>
            <w:noWrap w:val="0"/>
            <w:vAlign w:val="top"/>
          </w:tcPr>
          <w:p w14:paraId="143B158D">
            <w:pPr>
              <w:autoSpaceDE w:val="0"/>
              <w:autoSpaceDN w:val="0"/>
              <w:rPr>
                <w:rFonts w:hAnsi="宋体" w:cs="宋体"/>
                <w:color w:val="auto"/>
                <w:sz w:val="20"/>
                <w:highlight w:val="none"/>
                <w:lang w:val="zh-CN" w:eastAsia="en-US" w:bidi="zh-CN"/>
              </w:rPr>
            </w:pPr>
          </w:p>
        </w:tc>
      </w:tr>
      <w:tr w14:paraId="04A39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390E407A">
            <w:pPr>
              <w:autoSpaceDE w:val="0"/>
              <w:autoSpaceDN w:val="0"/>
              <w:spacing w:before="128"/>
              <w:ind w:left="496"/>
              <w:rPr>
                <w:rFonts w:ascii="宋体" w:hAnsi="宋体" w:cs="宋体"/>
                <w:color w:val="auto"/>
                <w:highlight w:val="none"/>
                <w:lang w:val="zh-CN" w:eastAsia="en-US" w:bidi="zh-CN"/>
              </w:rPr>
            </w:pPr>
            <w:r>
              <w:rPr>
                <w:rFonts w:ascii="宋体" w:hAnsi="宋体" w:cs="宋体"/>
                <w:color w:val="auto"/>
                <w:highlight w:val="none"/>
                <w:lang w:val="zh-CN" w:eastAsia="en-US" w:bidi="zh-CN"/>
              </w:rPr>
              <w:t>法定代表人</w:t>
            </w:r>
          </w:p>
        </w:tc>
        <w:tc>
          <w:tcPr>
            <w:tcW w:w="941" w:type="dxa"/>
            <w:noWrap w:val="0"/>
            <w:vAlign w:val="top"/>
          </w:tcPr>
          <w:p w14:paraId="6D562E22">
            <w:pPr>
              <w:autoSpaceDE w:val="0"/>
              <w:autoSpaceDN w:val="0"/>
              <w:spacing w:before="128"/>
              <w:ind w:left="13"/>
              <w:jc w:val="center"/>
              <w:rPr>
                <w:rFonts w:ascii="宋体" w:hAnsi="宋体" w:cs="宋体"/>
                <w:color w:val="auto"/>
                <w:highlight w:val="none"/>
                <w:lang w:val="zh-CN" w:eastAsia="en-US" w:bidi="zh-CN"/>
              </w:rPr>
            </w:pPr>
            <w:r>
              <w:rPr>
                <w:rFonts w:ascii="宋体" w:hAnsi="宋体" w:cs="宋体"/>
                <w:color w:val="auto"/>
                <w:highlight w:val="none"/>
                <w:lang w:val="zh-CN" w:eastAsia="en-US" w:bidi="zh-CN"/>
              </w:rPr>
              <w:t>姓名</w:t>
            </w:r>
          </w:p>
        </w:tc>
        <w:tc>
          <w:tcPr>
            <w:tcW w:w="885" w:type="dxa"/>
            <w:noWrap w:val="0"/>
            <w:vAlign w:val="top"/>
          </w:tcPr>
          <w:p w14:paraId="174FC260">
            <w:pPr>
              <w:autoSpaceDE w:val="0"/>
              <w:autoSpaceDN w:val="0"/>
              <w:rPr>
                <w:rFonts w:hAnsi="宋体" w:cs="宋体"/>
                <w:color w:val="auto"/>
                <w:sz w:val="20"/>
                <w:highlight w:val="none"/>
                <w:lang w:val="zh-CN" w:eastAsia="en-US" w:bidi="zh-CN"/>
              </w:rPr>
            </w:pPr>
          </w:p>
        </w:tc>
        <w:tc>
          <w:tcPr>
            <w:tcW w:w="1110" w:type="dxa"/>
            <w:noWrap w:val="0"/>
            <w:vAlign w:val="top"/>
          </w:tcPr>
          <w:p w14:paraId="0F56DD94">
            <w:pPr>
              <w:autoSpaceDE w:val="0"/>
              <w:autoSpaceDN w:val="0"/>
              <w:spacing w:before="128"/>
              <w:ind w:left="223"/>
              <w:rPr>
                <w:rFonts w:ascii="宋体" w:hAnsi="宋体" w:cs="宋体"/>
                <w:color w:val="auto"/>
                <w:highlight w:val="none"/>
                <w:lang w:val="zh-CN" w:eastAsia="en-US" w:bidi="zh-CN"/>
              </w:rPr>
            </w:pPr>
            <w:r>
              <w:rPr>
                <w:rFonts w:ascii="宋体" w:hAnsi="宋体" w:cs="宋体"/>
                <w:color w:val="auto"/>
                <w:highlight w:val="none"/>
                <w:lang w:val="zh-CN" w:eastAsia="en-US" w:bidi="zh-CN"/>
              </w:rPr>
              <w:t>技术职称</w:t>
            </w:r>
          </w:p>
        </w:tc>
        <w:tc>
          <w:tcPr>
            <w:tcW w:w="1669" w:type="dxa"/>
            <w:gridSpan w:val="2"/>
            <w:noWrap w:val="0"/>
            <w:vAlign w:val="top"/>
          </w:tcPr>
          <w:p w14:paraId="6DF94D68">
            <w:pPr>
              <w:autoSpaceDE w:val="0"/>
              <w:autoSpaceDN w:val="0"/>
              <w:rPr>
                <w:rFonts w:hAnsi="宋体" w:cs="宋体"/>
                <w:color w:val="auto"/>
                <w:sz w:val="20"/>
                <w:highlight w:val="none"/>
                <w:lang w:val="zh-CN" w:eastAsia="en-US" w:bidi="zh-CN"/>
              </w:rPr>
            </w:pPr>
          </w:p>
        </w:tc>
        <w:tc>
          <w:tcPr>
            <w:tcW w:w="1139" w:type="dxa"/>
            <w:gridSpan w:val="2"/>
            <w:noWrap w:val="0"/>
            <w:vAlign w:val="top"/>
          </w:tcPr>
          <w:p w14:paraId="58926F18">
            <w:pPr>
              <w:autoSpaceDE w:val="0"/>
              <w:autoSpaceDN w:val="0"/>
              <w:spacing w:before="128"/>
              <w:ind w:left="342"/>
              <w:rPr>
                <w:rFonts w:ascii="宋体" w:hAnsi="宋体" w:cs="宋体"/>
                <w:color w:val="auto"/>
                <w:highlight w:val="none"/>
                <w:lang w:val="zh-CN" w:eastAsia="en-US" w:bidi="zh-CN"/>
              </w:rPr>
            </w:pPr>
            <w:r>
              <w:rPr>
                <w:rFonts w:ascii="宋体" w:hAnsi="宋体" w:cs="宋体"/>
                <w:color w:val="auto"/>
                <w:highlight w:val="none"/>
                <w:lang w:val="zh-CN" w:eastAsia="en-US" w:bidi="zh-CN"/>
              </w:rPr>
              <w:t>电话</w:t>
            </w:r>
          </w:p>
        </w:tc>
        <w:tc>
          <w:tcPr>
            <w:tcW w:w="1377" w:type="dxa"/>
            <w:noWrap w:val="0"/>
            <w:vAlign w:val="top"/>
          </w:tcPr>
          <w:p w14:paraId="59B94828">
            <w:pPr>
              <w:autoSpaceDE w:val="0"/>
              <w:autoSpaceDN w:val="0"/>
              <w:rPr>
                <w:rFonts w:hAnsi="宋体" w:cs="宋体"/>
                <w:color w:val="auto"/>
                <w:sz w:val="20"/>
                <w:highlight w:val="none"/>
                <w:lang w:val="zh-CN" w:eastAsia="en-US" w:bidi="zh-CN"/>
              </w:rPr>
            </w:pPr>
          </w:p>
        </w:tc>
      </w:tr>
      <w:tr w14:paraId="5564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52D11587">
            <w:pPr>
              <w:autoSpaceDE w:val="0"/>
              <w:autoSpaceDN w:val="0"/>
              <w:spacing w:before="131"/>
              <w:ind w:left="496"/>
              <w:rPr>
                <w:rFonts w:ascii="宋体" w:hAnsi="宋体" w:cs="宋体"/>
                <w:color w:val="auto"/>
                <w:highlight w:val="none"/>
                <w:lang w:val="zh-CN" w:eastAsia="en-US" w:bidi="zh-CN"/>
              </w:rPr>
            </w:pPr>
            <w:r>
              <w:rPr>
                <w:rFonts w:ascii="宋体" w:hAnsi="宋体" w:cs="宋体"/>
                <w:color w:val="auto"/>
                <w:highlight w:val="none"/>
                <w:lang w:val="zh-CN" w:eastAsia="en-US" w:bidi="zh-CN"/>
              </w:rPr>
              <w:t>技术负责人</w:t>
            </w:r>
          </w:p>
        </w:tc>
        <w:tc>
          <w:tcPr>
            <w:tcW w:w="941" w:type="dxa"/>
            <w:noWrap w:val="0"/>
            <w:vAlign w:val="top"/>
          </w:tcPr>
          <w:p w14:paraId="38734958">
            <w:pPr>
              <w:autoSpaceDE w:val="0"/>
              <w:autoSpaceDN w:val="0"/>
              <w:spacing w:before="131"/>
              <w:ind w:left="13"/>
              <w:jc w:val="center"/>
              <w:rPr>
                <w:rFonts w:ascii="宋体" w:hAnsi="宋体" w:cs="宋体"/>
                <w:color w:val="auto"/>
                <w:highlight w:val="none"/>
                <w:lang w:val="zh-CN" w:eastAsia="en-US" w:bidi="zh-CN"/>
              </w:rPr>
            </w:pPr>
            <w:r>
              <w:rPr>
                <w:rFonts w:ascii="宋体" w:hAnsi="宋体" w:cs="宋体"/>
                <w:color w:val="auto"/>
                <w:highlight w:val="none"/>
                <w:lang w:val="zh-CN" w:eastAsia="en-US" w:bidi="zh-CN"/>
              </w:rPr>
              <w:t>姓名</w:t>
            </w:r>
          </w:p>
        </w:tc>
        <w:tc>
          <w:tcPr>
            <w:tcW w:w="885" w:type="dxa"/>
            <w:noWrap w:val="0"/>
            <w:vAlign w:val="top"/>
          </w:tcPr>
          <w:p w14:paraId="25B4448F">
            <w:pPr>
              <w:autoSpaceDE w:val="0"/>
              <w:autoSpaceDN w:val="0"/>
              <w:rPr>
                <w:rFonts w:hAnsi="宋体" w:cs="宋体"/>
                <w:color w:val="auto"/>
                <w:sz w:val="20"/>
                <w:highlight w:val="none"/>
                <w:lang w:val="zh-CN" w:eastAsia="en-US" w:bidi="zh-CN"/>
              </w:rPr>
            </w:pPr>
          </w:p>
        </w:tc>
        <w:tc>
          <w:tcPr>
            <w:tcW w:w="1110" w:type="dxa"/>
            <w:noWrap w:val="0"/>
            <w:vAlign w:val="top"/>
          </w:tcPr>
          <w:p w14:paraId="441574F4">
            <w:pPr>
              <w:autoSpaceDE w:val="0"/>
              <w:autoSpaceDN w:val="0"/>
              <w:spacing w:before="131"/>
              <w:ind w:left="223"/>
              <w:rPr>
                <w:rFonts w:ascii="宋体" w:hAnsi="宋体" w:cs="宋体"/>
                <w:color w:val="auto"/>
                <w:highlight w:val="none"/>
                <w:lang w:val="zh-CN" w:eastAsia="en-US" w:bidi="zh-CN"/>
              </w:rPr>
            </w:pPr>
            <w:r>
              <w:rPr>
                <w:rFonts w:ascii="宋体" w:hAnsi="宋体" w:cs="宋体"/>
                <w:color w:val="auto"/>
                <w:highlight w:val="none"/>
                <w:lang w:val="zh-CN" w:eastAsia="en-US" w:bidi="zh-CN"/>
              </w:rPr>
              <w:t>技术职称</w:t>
            </w:r>
          </w:p>
        </w:tc>
        <w:tc>
          <w:tcPr>
            <w:tcW w:w="1669" w:type="dxa"/>
            <w:gridSpan w:val="2"/>
            <w:noWrap w:val="0"/>
            <w:vAlign w:val="top"/>
          </w:tcPr>
          <w:p w14:paraId="207F21C7">
            <w:pPr>
              <w:autoSpaceDE w:val="0"/>
              <w:autoSpaceDN w:val="0"/>
              <w:rPr>
                <w:rFonts w:hAnsi="宋体" w:cs="宋体"/>
                <w:color w:val="auto"/>
                <w:sz w:val="20"/>
                <w:highlight w:val="none"/>
                <w:lang w:val="zh-CN" w:eastAsia="en-US" w:bidi="zh-CN"/>
              </w:rPr>
            </w:pPr>
          </w:p>
        </w:tc>
        <w:tc>
          <w:tcPr>
            <w:tcW w:w="1139" w:type="dxa"/>
            <w:gridSpan w:val="2"/>
            <w:noWrap w:val="0"/>
            <w:vAlign w:val="top"/>
          </w:tcPr>
          <w:p w14:paraId="7DEBF1F5">
            <w:pPr>
              <w:autoSpaceDE w:val="0"/>
              <w:autoSpaceDN w:val="0"/>
              <w:spacing w:before="131"/>
              <w:ind w:left="342"/>
              <w:rPr>
                <w:rFonts w:ascii="宋体" w:hAnsi="宋体" w:cs="宋体"/>
                <w:color w:val="auto"/>
                <w:highlight w:val="none"/>
                <w:lang w:val="zh-CN" w:eastAsia="en-US" w:bidi="zh-CN"/>
              </w:rPr>
            </w:pPr>
            <w:r>
              <w:rPr>
                <w:rFonts w:ascii="宋体" w:hAnsi="宋体" w:cs="宋体"/>
                <w:color w:val="auto"/>
                <w:highlight w:val="none"/>
                <w:lang w:val="zh-CN" w:eastAsia="en-US" w:bidi="zh-CN"/>
              </w:rPr>
              <w:t>电话</w:t>
            </w:r>
          </w:p>
        </w:tc>
        <w:tc>
          <w:tcPr>
            <w:tcW w:w="1377" w:type="dxa"/>
            <w:noWrap w:val="0"/>
            <w:vAlign w:val="top"/>
          </w:tcPr>
          <w:p w14:paraId="244C6F2B">
            <w:pPr>
              <w:autoSpaceDE w:val="0"/>
              <w:autoSpaceDN w:val="0"/>
              <w:rPr>
                <w:rFonts w:hAnsi="宋体" w:cs="宋体"/>
                <w:color w:val="auto"/>
                <w:sz w:val="20"/>
                <w:highlight w:val="none"/>
                <w:lang w:val="zh-CN" w:eastAsia="en-US" w:bidi="zh-CN"/>
              </w:rPr>
            </w:pPr>
          </w:p>
        </w:tc>
      </w:tr>
      <w:tr w14:paraId="131BE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68FF6B2F">
            <w:pPr>
              <w:autoSpaceDE w:val="0"/>
              <w:autoSpaceDN w:val="0"/>
              <w:spacing w:before="130"/>
              <w:ind w:left="496"/>
              <w:rPr>
                <w:rFonts w:ascii="宋体" w:hAnsi="宋体" w:cs="宋体"/>
                <w:color w:val="auto"/>
                <w:highlight w:val="none"/>
                <w:lang w:val="zh-CN" w:eastAsia="en-US" w:bidi="zh-CN"/>
              </w:rPr>
            </w:pPr>
            <w:r>
              <w:rPr>
                <w:rFonts w:ascii="宋体" w:hAnsi="宋体" w:cs="宋体"/>
                <w:color w:val="auto"/>
                <w:highlight w:val="none"/>
                <w:lang w:val="zh-CN" w:eastAsia="en-US" w:bidi="zh-CN"/>
              </w:rPr>
              <w:t>营业执照号</w:t>
            </w:r>
          </w:p>
        </w:tc>
        <w:tc>
          <w:tcPr>
            <w:tcW w:w="2936" w:type="dxa"/>
            <w:gridSpan w:val="3"/>
            <w:noWrap w:val="0"/>
            <w:vAlign w:val="top"/>
          </w:tcPr>
          <w:p w14:paraId="74B358C0">
            <w:pPr>
              <w:autoSpaceDE w:val="0"/>
              <w:autoSpaceDN w:val="0"/>
              <w:rPr>
                <w:rFonts w:hAnsi="宋体" w:cs="宋体"/>
                <w:color w:val="auto"/>
                <w:sz w:val="20"/>
                <w:highlight w:val="none"/>
                <w:lang w:val="zh-CN" w:eastAsia="en-US" w:bidi="zh-CN"/>
              </w:rPr>
            </w:pPr>
          </w:p>
        </w:tc>
        <w:tc>
          <w:tcPr>
            <w:tcW w:w="4185" w:type="dxa"/>
            <w:gridSpan w:val="5"/>
            <w:noWrap w:val="0"/>
            <w:vAlign w:val="top"/>
          </w:tcPr>
          <w:p w14:paraId="68D4D79F">
            <w:pPr>
              <w:autoSpaceDE w:val="0"/>
              <w:autoSpaceDN w:val="0"/>
              <w:spacing w:before="130"/>
              <w:ind w:left="1286"/>
              <w:rPr>
                <w:rFonts w:ascii="宋体" w:hAnsi="宋体" w:cs="宋体"/>
                <w:color w:val="auto"/>
                <w:highlight w:val="none"/>
                <w:lang w:val="zh-CN" w:eastAsia="en-US" w:bidi="zh-CN"/>
              </w:rPr>
            </w:pPr>
            <w:r>
              <w:rPr>
                <w:rFonts w:ascii="宋体" w:hAnsi="宋体" w:cs="宋体"/>
                <w:color w:val="auto"/>
                <w:highlight w:val="none"/>
                <w:lang w:val="zh-CN" w:eastAsia="en-US" w:bidi="zh-CN"/>
              </w:rPr>
              <w:t>员工总人数：</w:t>
            </w:r>
          </w:p>
        </w:tc>
      </w:tr>
      <w:tr w14:paraId="29675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6DD3052D">
            <w:pPr>
              <w:autoSpaceDE w:val="0"/>
              <w:autoSpaceDN w:val="0"/>
              <w:spacing w:before="128"/>
              <w:ind w:left="602"/>
              <w:rPr>
                <w:rFonts w:ascii="宋体" w:hAnsi="宋体" w:cs="宋体"/>
                <w:color w:val="auto"/>
                <w:highlight w:val="none"/>
                <w:lang w:val="zh-CN" w:eastAsia="en-US" w:bidi="zh-CN"/>
              </w:rPr>
            </w:pPr>
            <w:r>
              <w:rPr>
                <w:rFonts w:ascii="宋体" w:hAnsi="宋体" w:cs="宋体"/>
                <w:color w:val="auto"/>
                <w:highlight w:val="none"/>
                <w:lang w:val="zh-CN" w:eastAsia="en-US" w:bidi="zh-CN"/>
              </w:rPr>
              <w:t>注册资本</w:t>
            </w:r>
          </w:p>
        </w:tc>
        <w:tc>
          <w:tcPr>
            <w:tcW w:w="2936" w:type="dxa"/>
            <w:gridSpan w:val="3"/>
            <w:noWrap w:val="0"/>
            <w:vAlign w:val="top"/>
          </w:tcPr>
          <w:p w14:paraId="3700F8D9">
            <w:pPr>
              <w:autoSpaceDE w:val="0"/>
              <w:autoSpaceDN w:val="0"/>
              <w:rPr>
                <w:rFonts w:hAnsi="宋体" w:cs="宋体"/>
                <w:color w:val="auto"/>
                <w:sz w:val="20"/>
                <w:highlight w:val="none"/>
                <w:lang w:val="zh-CN" w:eastAsia="en-US" w:bidi="zh-CN"/>
              </w:rPr>
            </w:pPr>
          </w:p>
        </w:tc>
        <w:tc>
          <w:tcPr>
            <w:tcW w:w="792" w:type="dxa"/>
            <w:vMerge w:val="restart"/>
            <w:noWrap w:val="0"/>
            <w:vAlign w:val="top"/>
          </w:tcPr>
          <w:p w14:paraId="05DF088D">
            <w:pPr>
              <w:autoSpaceDE w:val="0"/>
              <w:autoSpaceDN w:val="0"/>
              <w:rPr>
                <w:rFonts w:ascii="宋体" w:hAnsi="宋体" w:cs="宋体"/>
                <w:b/>
                <w:color w:val="auto"/>
                <w:sz w:val="20"/>
                <w:highlight w:val="none"/>
                <w:lang w:val="zh-CN" w:eastAsia="en-US" w:bidi="zh-CN"/>
              </w:rPr>
            </w:pPr>
          </w:p>
          <w:p w14:paraId="0B289474">
            <w:pPr>
              <w:autoSpaceDE w:val="0"/>
              <w:autoSpaceDN w:val="0"/>
              <w:spacing w:before="2"/>
              <w:rPr>
                <w:rFonts w:ascii="宋体" w:hAnsi="宋体" w:cs="宋体"/>
                <w:b/>
                <w:color w:val="auto"/>
                <w:sz w:val="20"/>
                <w:highlight w:val="none"/>
                <w:lang w:val="zh-CN" w:eastAsia="en-US" w:bidi="zh-CN"/>
              </w:rPr>
            </w:pPr>
          </w:p>
          <w:p w14:paraId="2CC19D0B">
            <w:pPr>
              <w:autoSpaceDE w:val="0"/>
              <w:autoSpaceDN w:val="0"/>
              <w:spacing w:line="446" w:lineRule="auto"/>
              <w:ind w:left="108" w:right="81"/>
              <w:rPr>
                <w:rFonts w:ascii="宋体" w:hAnsi="宋体" w:cs="宋体"/>
                <w:color w:val="auto"/>
                <w:highlight w:val="none"/>
                <w:lang w:val="zh-CN" w:eastAsia="en-US" w:bidi="zh-CN"/>
              </w:rPr>
            </w:pPr>
            <w:r>
              <w:rPr>
                <w:rFonts w:ascii="宋体" w:hAnsi="宋体" w:cs="宋体"/>
                <w:color w:val="auto"/>
                <w:highlight w:val="none"/>
                <w:lang w:val="zh-CN" w:eastAsia="en-US" w:bidi="zh-CN"/>
              </w:rPr>
              <w:t>其中</w:t>
            </w:r>
          </w:p>
        </w:tc>
        <w:tc>
          <w:tcPr>
            <w:tcW w:w="1726" w:type="dxa"/>
            <w:gridSpan w:val="2"/>
            <w:noWrap w:val="0"/>
            <w:vAlign w:val="top"/>
          </w:tcPr>
          <w:p w14:paraId="5C2066BE">
            <w:pPr>
              <w:autoSpaceDE w:val="0"/>
              <w:autoSpaceDN w:val="0"/>
              <w:spacing w:before="128"/>
              <w:ind w:left="321"/>
              <w:rPr>
                <w:rFonts w:ascii="宋体" w:hAnsi="宋体" w:cs="宋体"/>
                <w:color w:val="auto"/>
                <w:highlight w:val="none"/>
                <w:lang w:val="zh-CN" w:eastAsia="en-US" w:bidi="zh-CN"/>
              </w:rPr>
            </w:pPr>
            <w:r>
              <w:rPr>
                <w:rFonts w:ascii="宋体" w:hAnsi="宋体" w:cs="宋体"/>
                <w:color w:val="auto"/>
                <w:highlight w:val="none"/>
                <w:lang w:val="zh-CN" w:eastAsia="en-US" w:bidi="zh-CN"/>
              </w:rPr>
              <w:t>高级职称人员</w:t>
            </w:r>
          </w:p>
        </w:tc>
        <w:tc>
          <w:tcPr>
            <w:tcW w:w="1667" w:type="dxa"/>
            <w:gridSpan w:val="2"/>
            <w:noWrap w:val="0"/>
            <w:vAlign w:val="top"/>
          </w:tcPr>
          <w:p w14:paraId="2F527B53">
            <w:pPr>
              <w:autoSpaceDE w:val="0"/>
              <w:autoSpaceDN w:val="0"/>
              <w:rPr>
                <w:rFonts w:hAnsi="宋体" w:cs="宋体"/>
                <w:color w:val="auto"/>
                <w:sz w:val="20"/>
                <w:highlight w:val="none"/>
                <w:lang w:val="zh-CN" w:eastAsia="en-US" w:bidi="zh-CN"/>
              </w:rPr>
            </w:pPr>
          </w:p>
        </w:tc>
      </w:tr>
      <w:tr w14:paraId="19043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095" w:type="dxa"/>
            <w:noWrap w:val="0"/>
            <w:vAlign w:val="top"/>
          </w:tcPr>
          <w:p w14:paraId="5C25EB45">
            <w:pPr>
              <w:autoSpaceDE w:val="0"/>
              <w:autoSpaceDN w:val="0"/>
              <w:spacing w:before="130"/>
              <w:ind w:left="602"/>
              <w:rPr>
                <w:rFonts w:ascii="宋体" w:hAnsi="宋体" w:cs="宋体"/>
                <w:color w:val="auto"/>
                <w:highlight w:val="none"/>
                <w:lang w:val="zh-CN" w:eastAsia="en-US" w:bidi="zh-CN"/>
              </w:rPr>
            </w:pPr>
            <w:r>
              <w:rPr>
                <w:rFonts w:ascii="宋体" w:hAnsi="宋体" w:cs="宋体"/>
                <w:color w:val="auto"/>
                <w:highlight w:val="none"/>
                <w:lang w:val="zh-CN" w:eastAsia="en-US" w:bidi="zh-CN"/>
              </w:rPr>
              <w:t>成立日期</w:t>
            </w:r>
          </w:p>
        </w:tc>
        <w:tc>
          <w:tcPr>
            <w:tcW w:w="2936" w:type="dxa"/>
            <w:gridSpan w:val="3"/>
            <w:noWrap w:val="0"/>
            <w:vAlign w:val="top"/>
          </w:tcPr>
          <w:p w14:paraId="2D08130E">
            <w:pPr>
              <w:autoSpaceDE w:val="0"/>
              <w:autoSpaceDN w:val="0"/>
              <w:rPr>
                <w:rFonts w:hAnsi="宋体" w:cs="宋体"/>
                <w:color w:val="auto"/>
                <w:sz w:val="20"/>
                <w:highlight w:val="none"/>
                <w:lang w:val="zh-CN" w:eastAsia="en-US" w:bidi="zh-CN"/>
              </w:rPr>
            </w:pPr>
          </w:p>
        </w:tc>
        <w:tc>
          <w:tcPr>
            <w:tcW w:w="792" w:type="dxa"/>
            <w:vMerge w:val="continue"/>
            <w:tcBorders>
              <w:top w:val="nil"/>
            </w:tcBorders>
            <w:noWrap w:val="0"/>
            <w:vAlign w:val="top"/>
          </w:tcPr>
          <w:p w14:paraId="69CA28A4">
            <w:pPr>
              <w:autoSpaceDE w:val="0"/>
              <w:autoSpaceDN w:val="0"/>
              <w:rPr>
                <w:rFonts w:ascii="宋体" w:hAnsi="宋体" w:cs="宋体"/>
                <w:color w:val="auto"/>
                <w:sz w:val="2"/>
                <w:szCs w:val="2"/>
                <w:highlight w:val="none"/>
                <w:lang w:val="zh-CN" w:eastAsia="en-US" w:bidi="zh-CN"/>
              </w:rPr>
            </w:pPr>
          </w:p>
        </w:tc>
        <w:tc>
          <w:tcPr>
            <w:tcW w:w="1726" w:type="dxa"/>
            <w:gridSpan w:val="2"/>
            <w:noWrap w:val="0"/>
            <w:vAlign w:val="top"/>
          </w:tcPr>
          <w:p w14:paraId="7800949D">
            <w:pPr>
              <w:autoSpaceDE w:val="0"/>
              <w:autoSpaceDN w:val="0"/>
              <w:spacing w:before="130"/>
              <w:ind w:left="321"/>
              <w:rPr>
                <w:rFonts w:ascii="宋体" w:hAnsi="宋体" w:cs="宋体"/>
                <w:color w:val="auto"/>
                <w:highlight w:val="none"/>
                <w:lang w:val="zh-CN" w:eastAsia="en-US" w:bidi="zh-CN"/>
              </w:rPr>
            </w:pPr>
            <w:r>
              <w:rPr>
                <w:rFonts w:ascii="宋体" w:hAnsi="宋体" w:cs="宋体"/>
                <w:color w:val="auto"/>
                <w:highlight w:val="none"/>
                <w:lang w:val="zh-CN" w:eastAsia="en-US" w:bidi="zh-CN"/>
              </w:rPr>
              <w:t>中级职称人员</w:t>
            </w:r>
          </w:p>
        </w:tc>
        <w:tc>
          <w:tcPr>
            <w:tcW w:w="1667" w:type="dxa"/>
            <w:gridSpan w:val="2"/>
            <w:noWrap w:val="0"/>
            <w:vAlign w:val="top"/>
          </w:tcPr>
          <w:p w14:paraId="09A9BE7B">
            <w:pPr>
              <w:autoSpaceDE w:val="0"/>
              <w:autoSpaceDN w:val="0"/>
              <w:rPr>
                <w:rFonts w:hAnsi="宋体" w:cs="宋体"/>
                <w:color w:val="auto"/>
                <w:sz w:val="20"/>
                <w:highlight w:val="none"/>
                <w:lang w:val="zh-CN" w:eastAsia="en-US" w:bidi="zh-CN"/>
              </w:rPr>
            </w:pPr>
          </w:p>
        </w:tc>
      </w:tr>
      <w:tr w14:paraId="3202C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2095" w:type="dxa"/>
            <w:noWrap w:val="0"/>
            <w:vAlign w:val="top"/>
          </w:tcPr>
          <w:p w14:paraId="269A37C8">
            <w:pPr>
              <w:autoSpaceDE w:val="0"/>
              <w:autoSpaceDN w:val="0"/>
              <w:spacing w:before="128"/>
              <w:ind w:left="182"/>
              <w:rPr>
                <w:rFonts w:ascii="宋体" w:hAnsi="宋体" w:cs="宋体"/>
                <w:color w:val="auto"/>
                <w:highlight w:val="none"/>
                <w:lang w:val="zh-CN" w:eastAsia="en-US" w:bidi="zh-CN"/>
              </w:rPr>
            </w:pPr>
            <w:r>
              <w:rPr>
                <w:rFonts w:ascii="宋体" w:hAnsi="宋体" w:cs="宋体"/>
                <w:color w:val="auto"/>
                <w:highlight w:val="none"/>
                <w:lang w:val="zh-CN" w:eastAsia="en-US" w:bidi="zh-CN"/>
              </w:rPr>
              <w:t>基本账户开户银行</w:t>
            </w:r>
          </w:p>
        </w:tc>
        <w:tc>
          <w:tcPr>
            <w:tcW w:w="2936" w:type="dxa"/>
            <w:gridSpan w:val="3"/>
            <w:noWrap w:val="0"/>
            <w:vAlign w:val="top"/>
          </w:tcPr>
          <w:p w14:paraId="4634ED2A">
            <w:pPr>
              <w:autoSpaceDE w:val="0"/>
              <w:autoSpaceDN w:val="0"/>
              <w:rPr>
                <w:rFonts w:hAnsi="宋体" w:cs="宋体"/>
                <w:color w:val="auto"/>
                <w:sz w:val="20"/>
                <w:highlight w:val="none"/>
                <w:lang w:val="zh-CN" w:eastAsia="en-US" w:bidi="zh-CN"/>
              </w:rPr>
            </w:pPr>
          </w:p>
        </w:tc>
        <w:tc>
          <w:tcPr>
            <w:tcW w:w="792" w:type="dxa"/>
            <w:vMerge w:val="continue"/>
            <w:tcBorders>
              <w:top w:val="nil"/>
            </w:tcBorders>
            <w:noWrap w:val="0"/>
            <w:vAlign w:val="top"/>
          </w:tcPr>
          <w:p w14:paraId="0FF5044E">
            <w:pPr>
              <w:autoSpaceDE w:val="0"/>
              <w:autoSpaceDN w:val="0"/>
              <w:rPr>
                <w:rFonts w:ascii="宋体" w:hAnsi="宋体" w:cs="宋体"/>
                <w:color w:val="auto"/>
                <w:sz w:val="2"/>
                <w:szCs w:val="2"/>
                <w:highlight w:val="none"/>
                <w:lang w:val="zh-CN" w:eastAsia="en-US" w:bidi="zh-CN"/>
              </w:rPr>
            </w:pPr>
          </w:p>
        </w:tc>
        <w:tc>
          <w:tcPr>
            <w:tcW w:w="1726" w:type="dxa"/>
            <w:gridSpan w:val="2"/>
            <w:noWrap w:val="0"/>
            <w:vAlign w:val="top"/>
          </w:tcPr>
          <w:p w14:paraId="153FFDB3">
            <w:pPr>
              <w:autoSpaceDE w:val="0"/>
              <w:autoSpaceDN w:val="0"/>
              <w:spacing w:before="128"/>
              <w:ind w:left="321"/>
              <w:rPr>
                <w:rFonts w:ascii="宋体" w:hAnsi="宋体" w:cs="宋体"/>
                <w:color w:val="auto"/>
                <w:highlight w:val="none"/>
                <w:lang w:val="zh-CN" w:eastAsia="en-US" w:bidi="zh-CN"/>
              </w:rPr>
            </w:pPr>
            <w:r>
              <w:rPr>
                <w:rFonts w:ascii="宋体" w:hAnsi="宋体" w:cs="宋体"/>
                <w:color w:val="auto"/>
                <w:highlight w:val="none"/>
                <w:lang w:val="zh-CN" w:eastAsia="en-US" w:bidi="zh-CN"/>
              </w:rPr>
              <w:t>技术人员数量</w:t>
            </w:r>
          </w:p>
        </w:tc>
        <w:tc>
          <w:tcPr>
            <w:tcW w:w="1667" w:type="dxa"/>
            <w:gridSpan w:val="2"/>
            <w:noWrap w:val="0"/>
            <w:vAlign w:val="top"/>
          </w:tcPr>
          <w:p w14:paraId="3668CA77">
            <w:pPr>
              <w:autoSpaceDE w:val="0"/>
              <w:autoSpaceDN w:val="0"/>
              <w:rPr>
                <w:rFonts w:hAnsi="宋体" w:cs="宋体"/>
                <w:color w:val="auto"/>
                <w:sz w:val="20"/>
                <w:highlight w:val="none"/>
                <w:lang w:val="zh-CN" w:eastAsia="en-US" w:bidi="zh-CN"/>
              </w:rPr>
            </w:pPr>
          </w:p>
        </w:tc>
      </w:tr>
      <w:tr w14:paraId="7015B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095" w:type="dxa"/>
            <w:noWrap w:val="0"/>
            <w:vAlign w:val="top"/>
          </w:tcPr>
          <w:p w14:paraId="7A89CE43">
            <w:pPr>
              <w:autoSpaceDE w:val="0"/>
              <w:autoSpaceDN w:val="0"/>
              <w:spacing w:before="130"/>
              <w:ind w:left="182"/>
              <w:rPr>
                <w:rFonts w:ascii="宋体" w:hAnsi="宋体" w:cs="宋体"/>
                <w:color w:val="auto"/>
                <w:highlight w:val="none"/>
                <w:lang w:val="zh-CN" w:eastAsia="en-US" w:bidi="zh-CN"/>
              </w:rPr>
            </w:pPr>
            <w:r>
              <w:rPr>
                <w:rFonts w:ascii="宋体" w:hAnsi="宋体" w:cs="宋体"/>
                <w:color w:val="auto"/>
                <w:highlight w:val="none"/>
                <w:lang w:val="zh-CN" w:eastAsia="en-US" w:bidi="zh-CN"/>
              </w:rPr>
              <w:t>基本账户银行账号</w:t>
            </w:r>
          </w:p>
        </w:tc>
        <w:tc>
          <w:tcPr>
            <w:tcW w:w="2936" w:type="dxa"/>
            <w:gridSpan w:val="3"/>
            <w:noWrap w:val="0"/>
            <w:vAlign w:val="top"/>
          </w:tcPr>
          <w:p w14:paraId="67CEDAFD">
            <w:pPr>
              <w:autoSpaceDE w:val="0"/>
              <w:autoSpaceDN w:val="0"/>
              <w:rPr>
                <w:rFonts w:hAnsi="宋体" w:cs="宋体"/>
                <w:color w:val="auto"/>
                <w:sz w:val="20"/>
                <w:highlight w:val="none"/>
                <w:lang w:val="zh-CN" w:eastAsia="en-US" w:bidi="zh-CN"/>
              </w:rPr>
            </w:pPr>
          </w:p>
        </w:tc>
        <w:tc>
          <w:tcPr>
            <w:tcW w:w="792" w:type="dxa"/>
            <w:vMerge w:val="continue"/>
            <w:tcBorders>
              <w:top w:val="nil"/>
            </w:tcBorders>
            <w:noWrap w:val="0"/>
            <w:vAlign w:val="top"/>
          </w:tcPr>
          <w:p w14:paraId="1E666D0B">
            <w:pPr>
              <w:autoSpaceDE w:val="0"/>
              <w:autoSpaceDN w:val="0"/>
              <w:rPr>
                <w:rFonts w:ascii="宋体" w:hAnsi="宋体" w:cs="宋体"/>
                <w:color w:val="auto"/>
                <w:sz w:val="2"/>
                <w:szCs w:val="2"/>
                <w:highlight w:val="none"/>
                <w:lang w:val="zh-CN" w:eastAsia="en-US" w:bidi="zh-CN"/>
              </w:rPr>
            </w:pPr>
          </w:p>
        </w:tc>
        <w:tc>
          <w:tcPr>
            <w:tcW w:w="1726" w:type="dxa"/>
            <w:gridSpan w:val="2"/>
            <w:noWrap w:val="0"/>
            <w:vAlign w:val="top"/>
          </w:tcPr>
          <w:p w14:paraId="41502AD9">
            <w:pPr>
              <w:autoSpaceDE w:val="0"/>
              <w:autoSpaceDN w:val="0"/>
              <w:spacing w:before="130"/>
              <w:ind w:left="321"/>
              <w:rPr>
                <w:rFonts w:ascii="宋体" w:hAnsi="宋体" w:cs="宋体"/>
                <w:color w:val="auto"/>
                <w:highlight w:val="none"/>
                <w:lang w:val="zh-CN" w:eastAsia="en-US" w:bidi="zh-CN"/>
              </w:rPr>
            </w:pPr>
            <w:r>
              <w:rPr>
                <w:rFonts w:ascii="宋体" w:hAnsi="宋体" w:cs="宋体"/>
                <w:color w:val="auto"/>
                <w:highlight w:val="none"/>
                <w:lang w:val="zh-CN" w:eastAsia="en-US" w:bidi="zh-CN"/>
              </w:rPr>
              <w:t>各类注册人员</w:t>
            </w:r>
          </w:p>
        </w:tc>
        <w:tc>
          <w:tcPr>
            <w:tcW w:w="1667" w:type="dxa"/>
            <w:gridSpan w:val="2"/>
            <w:noWrap w:val="0"/>
            <w:vAlign w:val="top"/>
          </w:tcPr>
          <w:p w14:paraId="0276FA7E">
            <w:pPr>
              <w:autoSpaceDE w:val="0"/>
              <w:autoSpaceDN w:val="0"/>
              <w:rPr>
                <w:rFonts w:hAnsi="宋体" w:cs="宋体"/>
                <w:color w:val="auto"/>
                <w:sz w:val="20"/>
                <w:highlight w:val="none"/>
                <w:lang w:val="zh-CN" w:eastAsia="en-US" w:bidi="zh-CN"/>
              </w:rPr>
            </w:pPr>
          </w:p>
        </w:tc>
      </w:tr>
      <w:tr w14:paraId="26E77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2" w:hRule="atLeast"/>
        </w:trPr>
        <w:tc>
          <w:tcPr>
            <w:tcW w:w="2095" w:type="dxa"/>
            <w:noWrap w:val="0"/>
            <w:vAlign w:val="top"/>
          </w:tcPr>
          <w:p w14:paraId="46552D4A">
            <w:pPr>
              <w:autoSpaceDE w:val="0"/>
              <w:autoSpaceDN w:val="0"/>
              <w:spacing w:before="128"/>
              <w:ind w:left="602"/>
              <w:rPr>
                <w:rFonts w:ascii="宋体" w:hAnsi="宋体" w:cs="宋体"/>
                <w:color w:val="auto"/>
                <w:highlight w:val="none"/>
                <w:lang w:val="zh-CN" w:eastAsia="en-US" w:bidi="zh-CN"/>
              </w:rPr>
            </w:pPr>
            <w:r>
              <w:rPr>
                <w:rFonts w:ascii="宋体" w:hAnsi="宋体" w:cs="宋体"/>
                <w:color w:val="auto"/>
                <w:highlight w:val="none"/>
                <w:lang w:val="zh-CN" w:eastAsia="en-US" w:bidi="zh-CN"/>
              </w:rPr>
              <w:t>经营范围</w:t>
            </w:r>
          </w:p>
        </w:tc>
        <w:tc>
          <w:tcPr>
            <w:tcW w:w="7121" w:type="dxa"/>
            <w:gridSpan w:val="8"/>
            <w:noWrap w:val="0"/>
            <w:vAlign w:val="top"/>
          </w:tcPr>
          <w:p w14:paraId="1FFA0EB5">
            <w:pPr>
              <w:autoSpaceDE w:val="0"/>
              <w:autoSpaceDN w:val="0"/>
              <w:rPr>
                <w:rFonts w:hAnsi="宋体" w:cs="宋体"/>
                <w:color w:val="auto"/>
                <w:sz w:val="20"/>
                <w:highlight w:val="none"/>
                <w:lang w:val="zh-CN" w:eastAsia="en-US" w:bidi="zh-CN"/>
              </w:rPr>
            </w:pPr>
          </w:p>
        </w:tc>
      </w:tr>
      <w:tr w14:paraId="45D9D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095" w:type="dxa"/>
            <w:noWrap w:val="0"/>
            <w:vAlign w:val="top"/>
          </w:tcPr>
          <w:p w14:paraId="45D43BB7">
            <w:pPr>
              <w:autoSpaceDE w:val="0"/>
              <w:autoSpaceDN w:val="0"/>
              <w:spacing w:before="130"/>
              <w:ind w:left="792" w:right="785"/>
              <w:jc w:val="center"/>
              <w:rPr>
                <w:rFonts w:ascii="宋体" w:hAnsi="宋体" w:cs="宋体"/>
                <w:color w:val="auto"/>
                <w:highlight w:val="none"/>
                <w:lang w:val="zh-CN" w:eastAsia="en-US" w:bidi="zh-CN"/>
              </w:rPr>
            </w:pPr>
            <w:r>
              <w:rPr>
                <w:rFonts w:ascii="宋体" w:hAnsi="宋体" w:cs="宋体"/>
                <w:color w:val="auto"/>
                <w:highlight w:val="none"/>
                <w:lang w:val="zh-CN" w:eastAsia="en-US" w:bidi="zh-CN"/>
              </w:rPr>
              <w:t>备注</w:t>
            </w:r>
          </w:p>
        </w:tc>
        <w:tc>
          <w:tcPr>
            <w:tcW w:w="7121" w:type="dxa"/>
            <w:gridSpan w:val="8"/>
            <w:noWrap w:val="0"/>
            <w:vAlign w:val="top"/>
          </w:tcPr>
          <w:p w14:paraId="05E530BD">
            <w:pPr>
              <w:autoSpaceDE w:val="0"/>
              <w:autoSpaceDN w:val="0"/>
              <w:rPr>
                <w:rFonts w:hAnsi="宋体" w:cs="宋体"/>
                <w:color w:val="auto"/>
                <w:sz w:val="20"/>
                <w:highlight w:val="none"/>
                <w:lang w:val="zh-CN" w:eastAsia="en-US" w:bidi="zh-CN"/>
              </w:rPr>
            </w:pPr>
          </w:p>
        </w:tc>
      </w:tr>
    </w:tbl>
    <w:p w14:paraId="093345B8">
      <w:pPr>
        <w:spacing w:line="360" w:lineRule="auto"/>
        <w:rPr>
          <w:rStyle w:val="33"/>
          <w:rFonts w:ascii="宋体" w:hAnsi="宋体"/>
          <w:color w:val="auto"/>
          <w:kern w:val="10"/>
          <w:sz w:val="24"/>
          <w:highlight w:val="none"/>
        </w:rPr>
      </w:pPr>
    </w:p>
    <w:p w14:paraId="20CDA7BF">
      <w:pPr>
        <w:spacing w:line="360" w:lineRule="auto"/>
        <w:rPr>
          <w:rStyle w:val="33"/>
          <w:rFonts w:ascii="宋体" w:hAnsi="宋体"/>
          <w:color w:val="auto"/>
          <w:kern w:val="10"/>
          <w:sz w:val="24"/>
          <w:highlight w:val="none"/>
        </w:rPr>
      </w:pPr>
    </w:p>
    <w:p w14:paraId="53F410A3">
      <w:pPr>
        <w:spacing w:line="360" w:lineRule="auto"/>
        <w:rPr>
          <w:rStyle w:val="33"/>
          <w:rFonts w:ascii="宋体" w:hAnsi="宋体"/>
          <w:color w:val="auto"/>
          <w:kern w:val="10"/>
          <w:sz w:val="24"/>
          <w:highlight w:val="none"/>
        </w:rPr>
      </w:pPr>
    </w:p>
    <w:p w14:paraId="04A97EEE">
      <w:pPr>
        <w:pStyle w:val="17"/>
        <w:ind w:firstLine="220"/>
        <w:rPr>
          <w:rFonts w:hint="eastAsia"/>
          <w:color w:val="auto"/>
          <w:highlight w:val="none"/>
          <w:lang w:val="zh-CN"/>
        </w:rPr>
      </w:pPr>
    </w:p>
    <w:p w14:paraId="41D54636">
      <w:pPr>
        <w:spacing w:line="360" w:lineRule="auto"/>
        <w:rPr>
          <w:rFonts w:hint="eastAsia" w:ascii="宋体" w:hAnsi="宋体" w:cs="宋体"/>
          <w:b/>
          <w:color w:val="auto"/>
          <w:sz w:val="24"/>
          <w:highlight w:val="none"/>
          <w:lang w:val="zh-CN" w:bidi="zh-CN"/>
        </w:rPr>
      </w:pPr>
    </w:p>
    <w:p w14:paraId="6BE162FC">
      <w:pPr>
        <w:spacing w:line="360" w:lineRule="auto"/>
        <w:rPr>
          <w:rFonts w:hint="eastAsia" w:ascii="宋体" w:hAnsi="宋体" w:cs="宋体"/>
          <w:b/>
          <w:color w:val="auto"/>
          <w:sz w:val="24"/>
          <w:highlight w:val="none"/>
          <w:lang w:val="zh-CN" w:bidi="zh-CN"/>
        </w:rPr>
      </w:pPr>
    </w:p>
    <w:p w14:paraId="49DE8FFF">
      <w:pPr>
        <w:spacing w:line="360" w:lineRule="auto"/>
        <w:rPr>
          <w:rFonts w:ascii="宋体" w:hAnsi="宋体" w:cs="宋体"/>
          <w:b/>
          <w:color w:val="auto"/>
          <w:sz w:val="24"/>
          <w:highlight w:val="none"/>
          <w:lang w:bidi="zh-CN"/>
        </w:rPr>
      </w:pPr>
      <w:r>
        <w:rPr>
          <w:rFonts w:hint="eastAsia" w:ascii="宋体" w:hAnsi="宋体" w:cs="宋体"/>
          <w:b/>
          <w:color w:val="auto"/>
          <w:sz w:val="24"/>
          <w:highlight w:val="none"/>
          <w:lang w:val="zh-CN" w:bidi="zh-CN"/>
        </w:rPr>
        <w:t>（二）响应人资格证明</w:t>
      </w:r>
      <w:r>
        <w:rPr>
          <w:rFonts w:hint="eastAsia" w:ascii="宋体" w:hAnsi="宋体" w:cs="宋体"/>
          <w:b/>
          <w:color w:val="auto"/>
          <w:sz w:val="24"/>
          <w:highlight w:val="none"/>
          <w:lang w:bidi="zh-CN"/>
        </w:rPr>
        <w:t>文件</w:t>
      </w:r>
    </w:p>
    <w:p w14:paraId="24DEDA68">
      <w:pPr>
        <w:spacing w:line="360" w:lineRule="auto"/>
        <w:rPr>
          <w:rStyle w:val="33"/>
          <w:rFonts w:ascii="宋体" w:hAnsi="宋体"/>
          <w:color w:val="auto"/>
          <w:kern w:val="10"/>
          <w:sz w:val="24"/>
          <w:highlight w:val="none"/>
        </w:rPr>
      </w:pPr>
    </w:p>
    <w:p w14:paraId="38D02C4C">
      <w:pPr>
        <w:spacing w:line="360" w:lineRule="auto"/>
        <w:jc w:val="center"/>
        <w:rPr>
          <w:rStyle w:val="33"/>
          <w:rFonts w:ascii="宋体" w:hAnsi="宋体" w:cs="宋体"/>
          <w:b/>
          <w:bCs/>
          <w:color w:val="auto"/>
          <w:kern w:val="10"/>
          <w:sz w:val="28"/>
          <w:szCs w:val="28"/>
          <w:highlight w:val="none"/>
        </w:rPr>
      </w:pPr>
    </w:p>
    <w:p w14:paraId="45F7781A">
      <w:pPr>
        <w:rPr>
          <w:rFonts w:hint="eastAsia"/>
          <w:color w:val="auto"/>
          <w:szCs w:val="24"/>
          <w:highlight w:val="none"/>
        </w:rPr>
      </w:pPr>
    </w:p>
    <w:p w14:paraId="2F03B879">
      <w:pPr>
        <w:rPr>
          <w:rFonts w:hint="eastAsia"/>
          <w:color w:val="auto"/>
          <w:szCs w:val="24"/>
          <w:highlight w:val="none"/>
        </w:rPr>
      </w:pPr>
    </w:p>
    <w:p w14:paraId="4456E8D0">
      <w:pPr>
        <w:spacing w:line="360" w:lineRule="auto"/>
        <w:rPr>
          <w:rFonts w:hint="eastAsia" w:ascii="宋体" w:hAnsi="宋体" w:cs="宋体"/>
          <w:color w:val="auto"/>
          <w:sz w:val="24"/>
          <w:szCs w:val="24"/>
          <w:highlight w:val="none"/>
        </w:rPr>
      </w:pPr>
    </w:p>
    <w:p w14:paraId="17A19DB6">
      <w:pPr>
        <w:spacing w:line="360" w:lineRule="auto"/>
        <w:rPr>
          <w:rFonts w:hint="eastAsia" w:ascii="宋体" w:hAnsi="宋体" w:cs="宋体"/>
          <w:color w:val="auto"/>
          <w:sz w:val="24"/>
          <w:szCs w:val="24"/>
          <w:highlight w:val="none"/>
        </w:rPr>
      </w:pPr>
    </w:p>
    <w:p w14:paraId="0F55D035">
      <w:pPr>
        <w:spacing w:line="360" w:lineRule="auto"/>
        <w:rPr>
          <w:rFonts w:hint="eastAsia" w:ascii="宋体" w:hAnsi="宋体" w:cs="宋体"/>
          <w:color w:val="auto"/>
          <w:sz w:val="24"/>
          <w:szCs w:val="24"/>
          <w:highlight w:val="none"/>
        </w:rPr>
      </w:pPr>
    </w:p>
    <w:p w14:paraId="40C515B3">
      <w:pPr>
        <w:spacing w:line="360" w:lineRule="auto"/>
        <w:rPr>
          <w:rFonts w:hint="eastAsia" w:ascii="宋体" w:hAnsi="宋体" w:cs="宋体"/>
          <w:color w:val="auto"/>
          <w:sz w:val="24"/>
          <w:szCs w:val="24"/>
          <w:highlight w:val="none"/>
        </w:rPr>
      </w:pPr>
    </w:p>
    <w:p w14:paraId="73B7CD9C">
      <w:pPr>
        <w:rPr>
          <w:rFonts w:hint="eastAsia" w:asciiTheme="minorEastAsia" w:hAnsiTheme="minorEastAsia" w:cstheme="minorEastAsia"/>
          <w:b/>
          <w:color w:val="auto"/>
          <w:sz w:val="28"/>
          <w:szCs w:val="28"/>
        </w:rPr>
      </w:pPr>
      <w:bookmarkStart w:id="307" w:name="_Toc12411"/>
      <w:bookmarkStart w:id="308" w:name="_Toc4034"/>
      <w:bookmarkStart w:id="309" w:name="_Toc455044847"/>
      <w:bookmarkStart w:id="310" w:name="_Toc9579_WPSOffice_Level1"/>
      <w:bookmarkStart w:id="311" w:name="_Toc260213948"/>
      <w:bookmarkStart w:id="312" w:name="_Toc350785315"/>
      <w:bookmarkStart w:id="313" w:name="_Toc25548"/>
      <w:r>
        <w:rPr>
          <w:rFonts w:hint="eastAsia" w:asciiTheme="minorEastAsia" w:hAnsiTheme="minorEastAsia" w:cstheme="minorEastAsia"/>
          <w:b/>
          <w:color w:val="auto"/>
          <w:sz w:val="28"/>
          <w:szCs w:val="28"/>
        </w:rPr>
        <w:br w:type="page"/>
      </w:r>
    </w:p>
    <w:p w14:paraId="1CF9A51A">
      <w:pPr>
        <w:spacing w:line="360" w:lineRule="auto"/>
        <w:rPr>
          <w:rFonts w:hint="eastAsia" w:ascii="宋体" w:hAnsi="宋体" w:eastAsia="宋体" w:cs="宋体"/>
          <w:b/>
          <w:color w:val="auto"/>
          <w:sz w:val="24"/>
          <w:highlight w:val="none"/>
          <w:lang w:val="zh-CN" w:bidi="zh-CN"/>
        </w:rPr>
      </w:pPr>
      <w:r>
        <w:rPr>
          <w:rFonts w:hint="eastAsia" w:ascii="宋体" w:hAnsi="宋体" w:eastAsia="宋体" w:cs="宋体"/>
          <w:b/>
          <w:color w:val="auto"/>
          <w:sz w:val="24"/>
          <w:highlight w:val="none"/>
          <w:lang w:val="zh-CN" w:bidi="zh-CN"/>
        </w:rPr>
        <w:t>（</w:t>
      </w:r>
      <w:r>
        <w:rPr>
          <w:rFonts w:hint="eastAsia" w:ascii="宋体" w:hAnsi="宋体" w:eastAsia="宋体" w:cs="宋体"/>
          <w:b/>
          <w:color w:val="auto"/>
          <w:sz w:val="24"/>
          <w:highlight w:val="none"/>
          <w:lang w:val="en-US" w:bidi="zh-CN"/>
        </w:rPr>
        <w:t>三</w:t>
      </w:r>
      <w:r>
        <w:rPr>
          <w:rFonts w:hint="eastAsia" w:ascii="宋体" w:hAnsi="宋体" w:eastAsia="宋体" w:cs="宋体"/>
          <w:b/>
          <w:color w:val="auto"/>
          <w:sz w:val="24"/>
          <w:highlight w:val="none"/>
          <w:lang w:val="zh-CN" w:bidi="zh-CN"/>
        </w:rPr>
        <w:t>）响应人近年以来的类似项目业绩一览表</w:t>
      </w:r>
    </w:p>
    <w:p w14:paraId="42182E1C">
      <w:pPr>
        <w:spacing w:line="560" w:lineRule="exact"/>
        <w:jc w:val="center"/>
        <w:rPr>
          <w:rFonts w:asciiTheme="minorEastAsia" w:hAnsiTheme="minorEastAsia" w:cstheme="minorEastAsia"/>
          <w:b/>
          <w:color w:val="auto"/>
          <w:sz w:val="28"/>
          <w:szCs w:val="28"/>
        </w:rPr>
      </w:pPr>
    </w:p>
    <w:tbl>
      <w:tblPr>
        <w:tblStyle w:val="1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18D8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5B78F03">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22" w:type="dxa"/>
            <w:vAlign w:val="center"/>
          </w:tcPr>
          <w:p w14:paraId="41FEBD70">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083" w:type="dxa"/>
            <w:vAlign w:val="center"/>
          </w:tcPr>
          <w:p w14:paraId="4EB99AEB">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项目单位</w:t>
            </w:r>
          </w:p>
        </w:tc>
        <w:tc>
          <w:tcPr>
            <w:tcW w:w="1391" w:type="dxa"/>
            <w:vAlign w:val="center"/>
          </w:tcPr>
          <w:p w14:paraId="2F07066E">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合同金额(万元)</w:t>
            </w:r>
          </w:p>
        </w:tc>
        <w:tc>
          <w:tcPr>
            <w:tcW w:w="1238" w:type="dxa"/>
            <w:vAlign w:val="center"/>
          </w:tcPr>
          <w:p w14:paraId="1B577477">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244" w:type="dxa"/>
            <w:tcBorders>
              <w:right w:val="single" w:color="auto" w:sz="4" w:space="0"/>
            </w:tcBorders>
            <w:vAlign w:val="center"/>
          </w:tcPr>
          <w:p w14:paraId="13ED3B9B">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合同签订时间</w:t>
            </w:r>
          </w:p>
        </w:tc>
        <w:tc>
          <w:tcPr>
            <w:tcW w:w="855" w:type="dxa"/>
            <w:tcBorders>
              <w:left w:val="single" w:color="auto" w:sz="4" w:space="0"/>
              <w:right w:val="single" w:color="000000" w:sz="4" w:space="0"/>
            </w:tcBorders>
            <w:vAlign w:val="center"/>
          </w:tcPr>
          <w:p w14:paraId="2D2145E2">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277E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F49DE14">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22" w:type="dxa"/>
            <w:vAlign w:val="center"/>
          </w:tcPr>
          <w:p w14:paraId="280ACCB4">
            <w:pPr>
              <w:spacing w:line="560" w:lineRule="exact"/>
              <w:jc w:val="center"/>
              <w:rPr>
                <w:rFonts w:hint="eastAsia" w:ascii="宋体" w:hAnsi="宋体" w:eastAsia="宋体" w:cs="宋体"/>
                <w:color w:val="auto"/>
                <w:sz w:val="24"/>
                <w:szCs w:val="24"/>
              </w:rPr>
            </w:pPr>
          </w:p>
        </w:tc>
        <w:tc>
          <w:tcPr>
            <w:tcW w:w="2083" w:type="dxa"/>
            <w:vAlign w:val="center"/>
          </w:tcPr>
          <w:p w14:paraId="2761BC9E">
            <w:pPr>
              <w:spacing w:line="560" w:lineRule="exact"/>
              <w:jc w:val="center"/>
              <w:rPr>
                <w:rFonts w:hint="eastAsia" w:ascii="宋体" w:hAnsi="宋体" w:eastAsia="宋体" w:cs="宋体"/>
                <w:color w:val="auto"/>
                <w:sz w:val="24"/>
                <w:szCs w:val="24"/>
              </w:rPr>
            </w:pPr>
          </w:p>
        </w:tc>
        <w:tc>
          <w:tcPr>
            <w:tcW w:w="1391" w:type="dxa"/>
            <w:vAlign w:val="center"/>
          </w:tcPr>
          <w:p w14:paraId="1B47603B">
            <w:pPr>
              <w:spacing w:line="560" w:lineRule="exact"/>
              <w:jc w:val="center"/>
              <w:rPr>
                <w:rFonts w:hint="eastAsia" w:ascii="宋体" w:hAnsi="宋体" w:eastAsia="宋体" w:cs="宋体"/>
                <w:color w:val="auto"/>
                <w:sz w:val="24"/>
                <w:szCs w:val="24"/>
              </w:rPr>
            </w:pPr>
          </w:p>
        </w:tc>
        <w:tc>
          <w:tcPr>
            <w:tcW w:w="1238" w:type="dxa"/>
            <w:vAlign w:val="center"/>
          </w:tcPr>
          <w:p w14:paraId="3A8FDB68">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6DEBA9AE">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5F8AFDE3">
            <w:pPr>
              <w:spacing w:line="560" w:lineRule="exact"/>
              <w:jc w:val="center"/>
              <w:rPr>
                <w:rFonts w:hint="eastAsia" w:ascii="宋体" w:hAnsi="宋体" w:eastAsia="宋体" w:cs="宋体"/>
                <w:color w:val="auto"/>
                <w:sz w:val="24"/>
                <w:szCs w:val="24"/>
              </w:rPr>
            </w:pPr>
          </w:p>
        </w:tc>
      </w:tr>
      <w:tr w14:paraId="75F9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365DA91">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022" w:type="dxa"/>
            <w:vAlign w:val="center"/>
          </w:tcPr>
          <w:p w14:paraId="2F517604">
            <w:pPr>
              <w:spacing w:line="560" w:lineRule="exact"/>
              <w:jc w:val="center"/>
              <w:rPr>
                <w:rFonts w:hint="eastAsia" w:ascii="宋体" w:hAnsi="宋体" w:eastAsia="宋体" w:cs="宋体"/>
                <w:color w:val="auto"/>
                <w:sz w:val="24"/>
                <w:szCs w:val="24"/>
              </w:rPr>
            </w:pPr>
          </w:p>
        </w:tc>
        <w:tc>
          <w:tcPr>
            <w:tcW w:w="2083" w:type="dxa"/>
            <w:vAlign w:val="center"/>
          </w:tcPr>
          <w:p w14:paraId="648B62FE">
            <w:pPr>
              <w:spacing w:line="560" w:lineRule="exact"/>
              <w:jc w:val="center"/>
              <w:rPr>
                <w:rFonts w:hint="eastAsia" w:ascii="宋体" w:hAnsi="宋体" w:eastAsia="宋体" w:cs="宋体"/>
                <w:color w:val="auto"/>
                <w:sz w:val="24"/>
                <w:szCs w:val="24"/>
              </w:rPr>
            </w:pPr>
          </w:p>
        </w:tc>
        <w:tc>
          <w:tcPr>
            <w:tcW w:w="1391" w:type="dxa"/>
            <w:vAlign w:val="center"/>
          </w:tcPr>
          <w:p w14:paraId="7CED1009">
            <w:pPr>
              <w:spacing w:line="560" w:lineRule="exact"/>
              <w:jc w:val="center"/>
              <w:rPr>
                <w:rFonts w:hint="eastAsia" w:ascii="宋体" w:hAnsi="宋体" w:eastAsia="宋体" w:cs="宋体"/>
                <w:color w:val="auto"/>
                <w:sz w:val="24"/>
                <w:szCs w:val="24"/>
              </w:rPr>
            </w:pPr>
          </w:p>
        </w:tc>
        <w:tc>
          <w:tcPr>
            <w:tcW w:w="1238" w:type="dxa"/>
            <w:vAlign w:val="center"/>
          </w:tcPr>
          <w:p w14:paraId="7C4F0675">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4CAFB707">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0A139AC0">
            <w:pPr>
              <w:spacing w:line="560" w:lineRule="exact"/>
              <w:jc w:val="center"/>
              <w:rPr>
                <w:rFonts w:hint="eastAsia" w:ascii="宋体" w:hAnsi="宋体" w:eastAsia="宋体" w:cs="宋体"/>
                <w:color w:val="auto"/>
                <w:sz w:val="24"/>
                <w:szCs w:val="24"/>
              </w:rPr>
            </w:pPr>
          </w:p>
        </w:tc>
      </w:tr>
      <w:tr w14:paraId="3883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B4B067C">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022" w:type="dxa"/>
            <w:vAlign w:val="center"/>
          </w:tcPr>
          <w:p w14:paraId="33D01C27">
            <w:pPr>
              <w:spacing w:line="560" w:lineRule="exact"/>
              <w:jc w:val="center"/>
              <w:rPr>
                <w:rFonts w:hint="eastAsia" w:ascii="宋体" w:hAnsi="宋体" w:eastAsia="宋体" w:cs="宋体"/>
                <w:color w:val="auto"/>
                <w:sz w:val="24"/>
                <w:szCs w:val="24"/>
              </w:rPr>
            </w:pPr>
          </w:p>
        </w:tc>
        <w:tc>
          <w:tcPr>
            <w:tcW w:w="2083" w:type="dxa"/>
            <w:vAlign w:val="center"/>
          </w:tcPr>
          <w:p w14:paraId="5E22A355">
            <w:pPr>
              <w:spacing w:line="560" w:lineRule="exact"/>
              <w:jc w:val="center"/>
              <w:rPr>
                <w:rFonts w:hint="eastAsia" w:ascii="宋体" w:hAnsi="宋体" w:eastAsia="宋体" w:cs="宋体"/>
                <w:color w:val="auto"/>
                <w:sz w:val="24"/>
                <w:szCs w:val="24"/>
              </w:rPr>
            </w:pPr>
          </w:p>
        </w:tc>
        <w:tc>
          <w:tcPr>
            <w:tcW w:w="1391" w:type="dxa"/>
            <w:vAlign w:val="center"/>
          </w:tcPr>
          <w:p w14:paraId="5CCAC2D0">
            <w:pPr>
              <w:spacing w:line="560" w:lineRule="exact"/>
              <w:jc w:val="center"/>
              <w:rPr>
                <w:rFonts w:hint="eastAsia" w:ascii="宋体" w:hAnsi="宋体" w:eastAsia="宋体" w:cs="宋体"/>
                <w:color w:val="auto"/>
                <w:sz w:val="24"/>
                <w:szCs w:val="24"/>
              </w:rPr>
            </w:pPr>
          </w:p>
        </w:tc>
        <w:tc>
          <w:tcPr>
            <w:tcW w:w="1238" w:type="dxa"/>
            <w:vAlign w:val="center"/>
          </w:tcPr>
          <w:p w14:paraId="6AC53B74">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3CED1F7D">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4AA016B7">
            <w:pPr>
              <w:spacing w:line="560" w:lineRule="exact"/>
              <w:jc w:val="center"/>
              <w:rPr>
                <w:rFonts w:hint="eastAsia" w:ascii="宋体" w:hAnsi="宋体" w:eastAsia="宋体" w:cs="宋体"/>
                <w:color w:val="auto"/>
                <w:sz w:val="24"/>
                <w:szCs w:val="24"/>
              </w:rPr>
            </w:pPr>
          </w:p>
        </w:tc>
      </w:tr>
      <w:tr w14:paraId="2BC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3C85B6C">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022" w:type="dxa"/>
            <w:vAlign w:val="center"/>
          </w:tcPr>
          <w:p w14:paraId="19CEB05A">
            <w:pPr>
              <w:spacing w:line="560" w:lineRule="exact"/>
              <w:jc w:val="center"/>
              <w:rPr>
                <w:rFonts w:hint="eastAsia" w:ascii="宋体" w:hAnsi="宋体" w:eastAsia="宋体" w:cs="宋体"/>
                <w:color w:val="auto"/>
                <w:sz w:val="24"/>
                <w:szCs w:val="24"/>
              </w:rPr>
            </w:pPr>
          </w:p>
        </w:tc>
        <w:tc>
          <w:tcPr>
            <w:tcW w:w="2083" w:type="dxa"/>
            <w:vAlign w:val="center"/>
          </w:tcPr>
          <w:p w14:paraId="5DE8302A">
            <w:pPr>
              <w:spacing w:line="560" w:lineRule="exact"/>
              <w:jc w:val="center"/>
              <w:rPr>
                <w:rFonts w:hint="eastAsia" w:ascii="宋体" w:hAnsi="宋体" w:eastAsia="宋体" w:cs="宋体"/>
                <w:color w:val="auto"/>
                <w:sz w:val="24"/>
                <w:szCs w:val="24"/>
              </w:rPr>
            </w:pPr>
          </w:p>
        </w:tc>
        <w:tc>
          <w:tcPr>
            <w:tcW w:w="1391" w:type="dxa"/>
            <w:vAlign w:val="center"/>
          </w:tcPr>
          <w:p w14:paraId="466C6829">
            <w:pPr>
              <w:spacing w:line="560" w:lineRule="exact"/>
              <w:jc w:val="center"/>
              <w:rPr>
                <w:rFonts w:hint="eastAsia" w:ascii="宋体" w:hAnsi="宋体" w:eastAsia="宋体" w:cs="宋体"/>
                <w:color w:val="auto"/>
                <w:sz w:val="24"/>
                <w:szCs w:val="24"/>
              </w:rPr>
            </w:pPr>
          </w:p>
        </w:tc>
        <w:tc>
          <w:tcPr>
            <w:tcW w:w="1238" w:type="dxa"/>
            <w:vAlign w:val="center"/>
          </w:tcPr>
          <w:p w14:paraId="567FBF18">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3EC907EC">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15E9179C">
            <w:pPr>
              <w:spacing w:line="560" w:lineRule="exact"/>
              <w:jc w:val="center"/>
              <w:rPr>
                <w:rFonts w:hint="eastAsia" w:ascii="宋体" w:hAnsi="宋体" w:eastAsia="宋体" w:cs="宋体"/>
                <w:color w:val="auto"/>
                <w:sz w:val="24"/>
                <w:szCs w:val="24"/>
              </w:rPr>
            </w:pPr>
          </w:p>
        </w:tc>
      </w:tr>
      <w:tr w14:paraId="79AE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CDD43BB">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022" w:type="dxa"/>
            <w:vAlign w:val="center"/>
          </w:tcPr>
          <w:p w14:paraId="03A3AAE0">
            <w:pPr>
              <w:spacing w:line="560" w:lineRule="exact"/>
              <w:jc w:val="center"/>
              <w:rPr>
                <w:rFonts w:hint="eastAsia" w:ascii="宋体" w:hAnsi="宋体" w:eastAsia="宋体" w:cs="宋体"/>
                <w:color w:val="auto"/>
                <w:sz w:val="24"/>
                <w:szCs w:val="24"/>
              </w:rPr>
            </w:pPr>
          </w:p>
        </w:tc>
        <w:tc>
          <w:tcPr>
            <w:tcW w:w="2083" w:type="dxa"/>
            <w:vAlign w:val="center"/>
          </w:tcPr>
          <w:p w14:paraId="238F9A27">
            <w:pPr>
              <w:spacing w:line="560" w:lineRule="exact"/>
              <w:jc w:val="center"/>
              <w:rPr>
                <w:rFonts w:hint="eastAsia" w:ascii="宋体" w:hAnsi="宋体" w:eastAsia="宋体" w:cs="宋体"/>
                <w:color w:val="auto"/>
                <w:sz w:val="24"/>
                <w:szCs w:val="24"/>
              </w:rPr>
            </w:pPr>
          </w:p>
        </w:tc>
        <w:tc>
          <w:tcPr>
            <w:tcW w:w="1391" w:type="dxa"/>
            <w:vAlign w:val="center"/>
          </w:tcPr>
          <w:p w14:paraId="1E123F97">
            <w:pPr>
              <w:spacing w:line="560" w:lineRule="exact"/>
              <w:jc w:val="center"/>
              <w:rPr>
                <w:rFonts w:hint="eastAsia" w:ascii="宋体" w:hAnsi="宋体" w:eastAsia="宋体" w:cs="宋体"/>
                <w:color w:val="auto"/>
                <w:sz w:val="24"/>
                <w:szCs w:val="24"/>
              </w:rPr>
            </w:pPr>
          </w:p>
        </w:tc>
        <w:tc>
          <w:tcPr>
            <w:tcW w:w="1238" w:type="dxa"/>
            <w:vAlign w:val="center"/>
          </w:tcPr>
          <w:p w14:paraId="0A9183E2">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55AF9115">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3397532B">
            <w:pPr>
              <w:spacing w:line="560" w:lineRule="exact"/>
              <w:jc w:val="center"/>
              <w:rPr>
                <w:rFonts w:hint="eastAsia" w:ascii="宋体" w:hAnsi="宋体" w:eastAsia="宋体" w:cs="宋体"/>
                <w:color w:val="auto"/>
                <w:sz w:val="24"/>
                <w:szCs w:val="24"/>
              </w:rPr>
            </w:pPr>
          </w:p>
        </w:tc>
      </w:tr>
      <w:tr w14:paraId="7D5D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AFCF2D8">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022" w:type="dxa"/>
            <w:vAlign w:val="center"/>
          </w:tcPr>
          <w:p w14:paraId="2ABECE89">
            <w:pPr>
              <w:spacing w:line="560" w:lineRule="exact"/>
              <w:jc w:val="center"/>
              <w:rPr>
                <w:rFonts w:hint="eastAsia" w:ascii="宋体" w:hAnsi="宋体" w:eastAsia="宋体" w:cs="宋体"/>
                <w:color w:val="auto"/>
                <w:sz w:val="24"/>
                <w:szCs w:val="24"/>
              </w:rPr>
            </w:pPr>
          </w:p>
        </w:tc>
        <w:tc>
          <w:tcPr>
            <w:tcW w:w="2083" w:type="dxa"/>
            <w:vAlign w:val="center"/>
          </w:tcPr>
          <w:p w14:paraId="179C76A9">
            <w:pPr>
              <w:spacing w:line="560" w:lineRule="exact"/>
              <w:jc w:val="center"/>
              <w:rPr>
                <w:rFonts w:hint="eastAsia" w:ascii="宋体" w:hAnsi="宋体" w:eastAsia="宋体" w:cs="宋体"/>
                <w:color w:val="auto"/>
                <w:sz w:val="24"/>
                <w:szCs w:val="24"/>
              </w:rPr>
            </w:pPr>
          </w:p>
        </w:tc>
        <w:tc>
          <w:tcPr>
            <w:tcW w:w="1391" w:type="dxa"/>
            <w:vAlign w:val="center"/>
          </w:tcPr>
          <w:p w14:paraId="3C4732F7">
            <w:pPr>
              <w:spacing w:line="560" w:lineRule="exact"/>
              <w:jc w:val="center"/>
              <w:rPr>
                <w:rFonts w:hint="eastAsia" w:ascii="宋体" w:hAnsi="宋体" w:eastAsia="宋体" w:cs="宋体"/>
                <w:color w:val="auto"/>
                <w:sz w:val="24"/>
                <w:szCs w:val="24"/>
              </w:rPr>
            </w:pPr>
          </w:p>
        </w:tc>
        <w:tc>
          <w:tcPr>
            <w:tcW w:w="1238" w:type="dxa"/>
            <w:vAlign w:val="center"/>
          </w:tcPr>
          <w:p w14:paraId="76B1FA1E">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536D0B95">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155CF64F">
            <w:pPr>
              <w:spacing w:line="560" w:lineRule="exact"/>
              <w:jc w:val="center"/>
              <w:rPr>
                <w:rFonts w:hint="eastAsia" w:ascii="宋体" w:hAnsi="宋体" w:eastAsia="宋体" w:cs="宋体"/>
                <w:color w:val="auto"/>
                <w:sz w:val="24"/>
                <w:szCs w:val="24"/>
              </w:rPr>
            </w:pPr>
          </w:p>
        </w:tc>
      </w:tr>
      <w:tr w14:paraId="0A4B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66932A99">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022" w:type="dxa"/>
            <w:vAlign w:val="center"/>
          </w:tcPr>
          <w:p w14:paraId="630E5888">
            <w:pPr>
              <w:spacing w:line="560" w:lineRule="exact"/>
              <w:jc w:val="center"/>
              <w:rPr>
                <w:rFonts w:hint="eastAsia" w:ascii="宋体" w:hAnsi="宋体" w:eastAsia="宋体" w:cs="宋体"/>
                <w:color w:val="auto"/>
                <w:sz w:val="24"/>
                <w:szCs w:val="24"/>
              </w:rPr>
            </w:pPr>
          </w:p>
        </w:tc>
        <w:tc>
          <w:tcPr>
            <w:tcW w:w="2083" w:type="dxa"/>
            <w:vAlign w:val="center"/>
          </w:tcPr>
          <w:p w14:paraId="0BE93002">
            <w:pPr>
              <w:spacing w:line="560" w:lineRule="exact"/>
              <w:jc w:val="center"/>
              <w:rPr>
                <w:rFonts w:hint="eastAsia" w:ascii="宋体" w:hAnsi="宋体" w:eastAsia="宋体" w:cs="宋体"/>
                <w:color w:val="auto"/>
                <w:sz w:val="24"/>
                <w:szCs w:val="24"/>
              </w:rPr>
            </w:pPr>
          </w:p>
        </w:tc>
        <w:tc>
          <w:tcPr>
            <w:tcW w:w="1391" w:type="dxa"/>
            <w:vAlign w:val="center"/>
          </w:tcPr>
          <w:p w14:paraId="5B9FE6A5">
            <w:pPr>
              <w:spacing w:line="560" w:lineRule="exact"/>
              <w:jc w:val="center"/>
              <w:rPr>
                <w:rFonts w:hint="eastAsia" w:ascii="宋体" w:hAnsi="宋体" w:eastAsia="宋体" w:cs="宋体"/>
                <w:color w:val="auto"/>
                <w:sz w:val="24"/>
                <w:szCs w:val="24"/>
              </w:rPr>
            </w:pPr>
          </w:p>
        </w:tc>
        <w:tc>
          <w:tcPr>
            <w:tcW w:w="1238" w:type="dxa"/>
            <w:vAlign w:val="center"/>
          </w:tcPr>
          <w:p w14:paraId="12A7917A">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36DEADB8">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4333A013">
            <w:pPr>
              <w:spacing w:line="560" w:lineRule="exact"/>
              <w:jc w:val="center"/>
              <w:rPr>
                <w:rFonts w:hint="eastAsia" w:ascii="宋体" w:hAnsi="宋体" w:eastAsia="宋体" w:cs="宋体"/>
                <w:color w:val="auto"/>
                <w:sz w:val="24"/>
                <w:szCs w:val="24"/>
              </w:rPr>
            </w:pPr>
          </w:p>
        </w:tc>
      </w:tr>
      <w:tr w14:paraId="6036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9BAA1D2">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022" w:type="dxa"/>
            <w:vAlign w:val="center"/>
          </w:tcPr>
          <w:p w14:paraId="6851408D">
            <w:pPr>
              <w:spacing w:line="560" w:lineRule="exact"/>
              <w:jc w:val="center"/>
              <w:rPr>
                <w:rFonts w:hint="eastAsia" w:ascii="宋体" w:hAnsi="宋体" w:eastAsia="宋体" w:cs="宋体"/>
                <w:color w:val="auto"/>
                <w:sz w:val="24"/>
                <w:szCs w:val="24"/>
              </w:rPr>
            </w:pPr>
          </w:p>
        </w:tc>
        <w:tc>
          <w:tcPr>
            <w:tcW w:w="2083" w:type="dxa"/>
            <w:vAlign w:val="center"/>
          </w:tcPr>
          <w:p w14:paraId="2D41109F">
            <w:pPr>
              <w:spacing w:line="560" w:lineRule="exact"/>
              <w:jc w:val="center"/>
              <w:rPr>
                <w:rFonts w:hint="eastAsia" w:ascii="宋体" w:hAnsi="宋体" w:eastAsia="宋体" w:cs="宋体"/>
                <w:color w:val="auto"/>
                <w:sz w:val="24"/>
                <w:szCs w:val="24"/>
              </w:rPr>
            </w:pPr>
          </w:p>
        </w:tc>
        <w:tc>
          <w:tcPr>
            <w:tcW w:w="1391" w:type="dxa"/>
            <w:vAlign w:val="center"/>
          </w:tcPr>
          <w:p w14:paraId="1FF8A150">
            <w:pPr>
              <w:spacing w:line="560" w:lineRule="exact"/>
              <w:jc w:val="center"/>
              <w:rPr>
                <w:rFonts w:hint="eastAsia" w:ascii="宋体" w:hAnsi="宋体" w:eastAsia="宋体" w:cs="宋体"/>
                <w:color w:val="auto"/>
                <w:sz w:val="24"/>
                <w:szCs w:val="24"/>
              </w:rPr>
            </w:pPr>
          </w:p>
        </w:tc>
        <w:tc>
          <w:tcPr>
            <w:tcW w:w="1238" w:type="dxa"/>
            <w:vAlign w:val="center"/>
          </w:tcPr>
          <w:p w14:paraId="7D1D1BD4">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77285842">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3D5C74E3">
            <w:pPr>
              <w:spacing w:line="560" w:lineRule="exact"/>
              <w:jc w:val="center"/>
              <w:rPr>
                <w:rFonts w:hint="eastAsia" w:ascii="宋体" w:hAnsi="宋体" w:eastAsia="宋体" w:cs="宋体"/>
                <w:color w:val="auto"/>
                <w:sz w:val="24"/>
                <w:szCs w:val="24"/>
              </w:rPr>
            </w:pPr>
          </w:p>
        </w:tc>
      </w:tr>
      <w:tr w14:paraId="3A1A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7765BBCF">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022" w:type="dxa"/>
            <w:vAlign w:val="center"/>
          </w:tcPr>
          <w:p w14:paraId="0677582B">
            <w:pPr>
              <w:spacing w:line="560" w:lineRule="exact"/>
              <w:jc w:val="center"/>
              <w:rPr>
                <w:rFonts w:hint="eastAsia" w:ascii="宋体" w:hAnsi="宋体" w:eastAsia="宋体" w:cs="宋体"/>
                <w:color w:val="auto"/>
                <w:sz w:val="24"/>
                <w:szCs w:val="24"/>
              </w:rPr>
            </w:pPr>
          </w:p>
        </w:tc>
        <w:tc>
          <w:tcPr>
            <w:tcW w:w="2083" w:type="dxa"/>
            <w:vAlign w:val="center"/>
          </w:tcPr>
          <w:p w14:paraId="6EC2D6E5">
            <w:pPr>
              <w:spacing w:line="560" w:lineRule="exact"/>
              <w:jc w:val="center"/>
              <w:rPr>
                <w:rFonts w:hint="eastAsia" w:ascii="宋体" w:hAnsi="宋体" w:eastAsia="宋体" w:cs="宋体"/>
                <w:color w:val="auto"/>
                <w:sz w:val="24"/>
                <w:szCs w:val="24"/>
              </w:rPr>
            </w:pPr>
          </w:p>
        </w:tc>
        <w:tc>
          <w:tcPr>
            <w:tcW w:w="1391" w:type="dxa"/>
            <w:vAlign w:val="center"/>
          </w:tcPr>
          <w:p w14:paraId="062F11D8">
            <w:pPr>
              <w:spacing w:line="560" w:lineRule="exact"/>
              <w:jc w:val="center"/>
              <w:rPr>
                <w:rFonts w:hint="eastAsia" w:ascii="宋体" w:hAnsi="宋体" w:eastAsia="宋体" w:cs="宋体"/>
                <w:color w:val="auto"/>
                <w:sz w:val="24"/>
                <w:szCs w:val="24"/>
              </w:rPr>
            </w:pPr>
          </w:p>
        </w:tc>
        <w:tc>
          <w:tcPr>
            <w:tcW w:w="1238" w:type="dxa"/>
            <w:vAlign w:val="center"/>
          </w:tcPr>
          <w:p w14:paraId="33E76AC8">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4D58CC1F">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33E0A7C4">
            <w:pPr>
              <w:spacing w:line="560" w:lineRule="exact"/>
              <w:jc w:val="center"/>
              <w:rPr>
                <w:rFonts w:hint="eastAsia" w:ascii="宋体" w:hAnsi="宋体" w:eastAsia="宋体" w:cs="宋体"/>
                <w:color w:val="auto"/>
                <w:sz w:val="24"/>
                <w:szCs w:val="24"/>
              </w:rPr>
            </w:pPr>
          </w:p>
        </w:tc>
      </w:tr>
      <w:tr w14:paraId="382F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21EFE139">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022" w:type="dxa"/>
            <w:vAlign w:val="center"/>
          </w:tcPr>
          <w:p w14:paraId="6DA5E682">
            <w:pPr>
              <w:spacing w:line="560" w:lineRule="exact"/>
              <w:jc w:val="center"/>
              <w:rPr>
                <w:rFonts w:hint="eastAsia" w:ascii="宋体" w:hAnsi="宋体" w:eastAsia="宋体" w:cs="宋体"/>
                <w:color w:val="auto"/>
                <w:sz w:val="24"/>
                <w:szCs w:val="24"/>
              </w:rPr>
            </w:pPr>
          </w:p>
        </w:tc>
        <w:tc>
          <w:tcPr>
            <w:tcW w:w="2083" w:type="dxa"/>
            <w:vAlign w:val="center"/>
          </w:tcPr>
          <w:p w14:paraId="090F6687">
            <w:pPr>
              <w:spacing w:line="560" w:lineRule="exact"/>
              <w:jc w:val="center"/>
              <w:rPr>
                <w:rFonts w:hint="eastAsia" w:ascii="宋体" w:hAnsi="宋体" w:eastAsia="宋体" w:cs="宋体"/>
                <w:color w:val="auto"/>
                <w:sz w:val="24"/>
                <w:szCs w:val="24"/>
              </w:rPr>
            </w:pPr>
          </w:p>
        </w:tc>
        <w:tc>
          <w:tcPr>
            <w:tcW w:w="1391" w:type="dxa"/>
            <w:vAlign w:val="center"/>
          </w:tcPr>
          <w:p w14:paraId="116DF61F">
            <w:pPr>
              <w:spacing w:line="560" w:lineRule="exact"/>
              <w:jc w:val="center"/>
              <w:rPr>
                <w:rFonts w:hint="eastAsia" w:ascii="宋体" w:hAnsi="宋体" w:eastAsia="宋体" w:cs="宋体"/>
                <w:color w:val="auto"/>
                <w:sz w:val="24"/>
                <w:szCs w:val="24"/>
              </w:rPr>
            </w:pPr>
          </w:p>
        </w:tc>
        <w:tc>
          <w:tcPr>
            <w:tcW w:w="1238" w:type="dxa"/>
            <w:vAlign w:val="center"/>
          </w:tcPr>
          <w:p w14:paraId="52A0757D">
            <w:pPr>
              <w:spacing w:line="560" w:lineRule="exact"/>
              <w:jc w:val="center"/>
              <w:rPr>
                <w:rFonts w:hint="eastAsia" w:ascii="宋体" w:hAnsi="宋体" w:eastAsia="宋体" w:cs="宋体"/>
                <w:color w:val="auto"/>
                <w:sz w:val="24"/>
                <w:szCs w:val="24"/>
              </w:rPr>
            </w:pPr>
          </w:p>
        </w:tc>
        <w:tc>
          <w:tcPr>
            <w:tcW w:w="1244" w:type="dxa"/>
            <w:tcBorders>
              <w:right w:val="single" w:color="auto" w:sz="4" w:space="0"/>
            </w:tcBorders>
            <w:vAlign w:val="center"/>
          </w:tcPr>
          <w:p w14:paraId="24FBA2AB">
            <w:pPr>
              <w:spacing w:line="560" w:lineRule="exact"/>
              <w:jc w:val="center"/>
              <w:rPr>
                <w:rFonts w:hint="eastAsia" w:ascii="宋体" w:hAnsi="宋体" w:eastAsia="宋体" w:cs="宋体"/>
                <w:color w:val="auto"/>
                <w:sz w:val="24"/>
                <w:szCs w:val="24"/>
              </w:rPr>
            </w:pPr>
          </w:p>
        </w:tc>
        <w:tc>
          <w:tcPr>
            <w:tcW w:w="855" w:type="dxa"/>
            <w:tcBorders>
              <w:left w:val="single" w:color="auto" w:sz="4" w:space="0"/>
              <w:right w:val="single" w:color="000000" w:sz="4" w:space="0"/>
            </w:tcBorders>
            <w:vAlign w:val="center"/>
          </w:tcPr>
          <w:p w14:paraId="4A002D7C">
            <w:pPr>
              <w:spacing w:line="560" w:lineRule="exact"/>
              <w:jc w:val="center"/>
              <w:rPr>
                <w:rFonts w:hint="eastAsia" w:ascii="宋体" w:hAnsi="宋体" w:eastAsia="宋体" w:cs="宋体"/>
                <w:color w:val="auto"/>
                <w:sz w:val="24"/>
                <w:szCs w:val="24"/>
              </w:rPr>
            </w:pPr>
          </w:p>
        </w:tc>
      </w:tr>
    </w:tbl>
    <w:p w14:paraId="25C65CEE">
      <w:pPr>
        <w:spacing w:line="560" w:lineRule="exact"/>
        <w:ind w:left="115"/>
        <w:contextualSpacing/>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附：</w:t>
      </w:r>
      <w:r>
        <w:rPr>
          <w:rFonts w:hint="eastAsia" w:ascii="宋体" w:hAnsi="宋体" w:eastAsia="宋体" w:cs="宋体"/>
          <w:b/>
          <w:bCs w:val="0"/>
          <w:color w:val="auto"/>
          <w:kern w:val="2"/>
          <w:sz w:val="21"/>
          <w:szCs w:val="21"/>
          <w:highlight w:val="none"/>
          <w:shd w:val="clear" w:color="auto" w:fill="FFFFFF"/>
          <w:lang w:val="en-US" w:eastAsia="zh-CN" w:bidi="ar-SA"/>
        </w:rPr>
        <w:t>中标通知书或合同书复印件</w:t>
      </w:r>
    </w:p>
    <w:p w14:paraId="4AC7449C">
      <w:pPr>
        <w:spacing w:line="560" w:lineRule="exact"/>
        <w:ind w:left="115"/>
        <w:contextualSpacing/>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如无业绩，则不附此表</w:t>
      </w:r>
      <w:r>
        <w:rPr>
          <w:rFonts w:hint="eastAsia" w:ascii="宋体" w:hAnsi="宋体" w:eastAsia="宋体" w:cs="宋体"/>
          <w:b w:val="0"/>
          <w:bCs/>
          <w:color w:val="auto"/>
          <w:sz w:val="21"/>
          <w:szCs w:val="21"/>
          <w:lang w:eastAsia="zh-CN"/>
        </w:rPr>
        <w:t>）</w:t>
      </w:r>
    </w:p>
    <w:p w14:paraId="39236A12">
      <w:pPr>
        <w:shd w:val="clear" w:color="auto" w:fill="FFFFFF"/>
        <w:tabs>
          <w:tab w:val="right" w:pos="6077"/>
        </w:tabs>
        <w:spacing w:line="560" w:lineRule="exact"/>
        <w:jc w:val="center"/>
        <w:outlineLvl w:val="1"/>
        <w:rPr>
          <w:rFonts w:hint="eastAsia" w:ascii="宋体" w:hAnsi="宋体" w:cs="宋体"/>
          <w:b/>
          <w:bCs/>
          <w:color w:val="auto"/>
          <w:sz w:val="30"/>
          <w:szCs w:val="30"/>
          <w:highlight w:val="none"/>
        </w:rPr>
      </w:pPr>
      <w:r>
        <w:rPr>
          <w:rFonts w:hint="eastAsia" w:ascii="宋体" w:hAnsi="宋体" w:cs="宋体"/>
          <w:color w:val="auto"/>
          <w:kern w:val="0"/>
          <w:sz w:val="30"/>
          <w:szCs w:val="30"/>
          <w:highlight w:val="none"/>
        </w:rPr>
        <w:br w:type="page"/>
      </w:r>
      <w:bookmarkStart w:id="314" w:name="_Toc8690"/>
      <w:bookmarkStart w:id="315" w:name="_Toc11267"/>
      <w:bookmarkStart w:id="316" w:name="_Toc7282"/>
      <w:bookmarkStart w:id="317" w:name="_Toc88"/>
      <w:r>
        <w:rPr>
          <w:rFonts w:hint="eastAsia" w:ascii="宋体" w:hAnsi="宋体" w:cs="宋体"/>
          <w:b/>
          <w:bCs/>
          <w:color w:val="auto"/>
          <w:sz w:val="30"/>
          <w:szCs w:val="30"/>
          <w:highlight w:val="none"/>
        </w:rPr>
        <w:t>八、优惠服务承诺</w:t>
      </w:r>
      <w:bookmarkEnd w:id="314"/>
      <w:bookmarkEnd w:id="315"/>
      <w:bookmarkEnd w:id="316"/>
      <w:bookmarkEnd w:id="317"/>
    </w:p>
    <w:p w14:paraId="067095A9">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1D509756">
      <w:pPr>
        <w:widowControl/>
        <w:spacing w:line="480" w:lineRule="exact"/>
        <w:ind w:firstLine="480" w:firstLineChars="200"/>
        <w:jc w:val="center"/>
        <w:textAlignment w:val="baseline"/>
        <w:rPr>
          <w:rStyle w:val="33"/>
          <w:rFonts w:ascii="宋体" w:hAnsi="宋体" w:cs="宋体"/>
          <w:bCs/>
          <w:color w:val="auto"/>
          <w:sz w:val="24"/>
          <w:highlight w:val="none"/>
        </w:rPr>
      </w:pPr>
      <w:r>
        <w:rPr>
          <w:rStyle w:val="33"/>
          <w:rFonts w:ascii="宋体" w:hAnsi="宋体" w:cs="宋体"/>
          <w:bCs/>
          <w:color w:val="auto"/>
          <w:sz w:val="24"/>
          <w:highlight w:val="none"/>
        </w:rPr>
        <w:t>格式自拟</w:t>
      </w:r>
    </w:p>
    <w:p w14:paraId="7A3E50EF">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4E7358E2">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57B12344">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5A8F23EF">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568E8040">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020EF2A8">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59F7C9DE">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7FD0C9F5">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1E78ECA7">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05A0C61F">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34902D34">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086E328C">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383446F8">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3BB99335">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1AF51E65">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67A46F41">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48C5E60F">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050B080F">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5E84B49A">
      <w:pPr>
        <w:pStyle w:val="5"/>
        <w:rPr>
          <w:rStyle w:val="33"/>
          <w:rFonts w:ascii="宋体" w:hAnsi="宋体" w:cs="宋体"/>
          <w:b/>
          <w:bCs/>
          <w:color w:val="auto"/>
          <w:sz w:val="32"/>
          <w:szCs w:val="32"/>
          <w:highlight w:val="none"/>
        </w:rPr>
      </w:pPr>
    </w:p>
    <w:p w14:paraId="6A92AF40">
      <w:pPr>
        <w:pStyle w:val="35"/>
        <w:rPr>
          <w:color w:val="auto"/>
          <w:highlight w:val="none"/>
        </w:rPr>
      </w:pPr>
    </w:p>
    <w:p w14:paraId="522A825F">
      <w:pPr>
        <w:pStyle w:val="35"/>
        <w:rPr>
          <w:color w:val="auto"/>
          <w:highlight w:val="none"/>
        </w:rPr>
      </w:pPr>
    </w:p>
    <w:p w14:paraId="69E80C24">
      <w:pPr>
        <w:shd w:val="clear" w:color="auto" w:fill="FFFFFF"/>
        <w:tabs>
          <w:tab w:val="right" w:pos="6077"/>
        </w:tabs>
        <w:spacing w:line="560" w:lineRule="exact"/>
        <w:jc w:val="center"/>
        <w:rPr>
          <w:rStyle w:val="33"/>
          <w:rFonts w:ascii="宋体" w:hAnsi="宋体" w:cs="宋体"/>
          <w:b/>
          <w:bCs/>
          <w:color w:val="auto"/>
          <w:sz w:val="32"/>
          <w:szCs w:val="32"/>
          <w:highlight w:val="none"/>
        </w:rPr>
      </w:pPr>
    </w:p>
    <w:p w14:paraId="452DF331">
      <w:pPr>
        <w:spacing w:line="0" w:lineRule="atLeast"/>
        <w:jc w:val="center"/>
        <w:rPr>
          <w:rFonts w:hint="eastAsia" w:ascii="宋体" w:hAnsi="宋体" w:cs="宋体"/>
          <w:b/>
          <w:bCs/>
          <w:color w:val="auto"/>
          <w:sz w:val="30"/>
          <w:szCs w:val="30"/>
          <w:highlight w:val="none"/>
        </w:rPr>
      </w:pPr>
    </w:p>
    <w:p w14:paraId="6492CB8D">
      <w:pPr>
        <w:spacing w:line="0" w:lineRule="atLeast"/>
        <w:jc w:val="center"/>
        <w:rPr>
          <w:rFonts w:hint="eastAsia" w:ascii="宋体" w:hAnsi="宋体" w:cs="宋体"/>
          <w:b/>
          <w:bCs/>
          <w:color w:val="auto"/>
          <w:sz w:val="30"/>
          <w:szCs w:val="30"/>
          <w:highlight w:val="none"/>
        </w:rPr>
      </w:pPr>
    </w:p>
    <w:p w14:paraId="3628E82F">
      <w:pPr>
        <w:spacing w:line="0" w:lineRule="atLeast"/>
        <w:jc w:val="center"/>
        <w:outlineLvl w:val="1"/>
        <w:rPr>
          <w:rFonts w:hint="eastAsia" w:ascii="宋体" w:hAnsi="宋体" w:cs="宋体"/>
          <w:b/>
          <w:bCs/>
          <w:color w:val="auto"/>
          <w:sz w:val="30"/>
          <w:szCs w:val="30"/>
          <w:highlight w:val="none"/>
        </w:rPr>
      </w:pPr>
      <w:bookmarkStart w:id="318" w:name="_Toc12574"/>
      <w:bookmarkStart w:id="319" w:name="_Toc19371"/>
      <w:bookmarkStart w:id="320" w:name="_Toc11534"/>
      <w:bookmarkStart w:id="321" w:name="_Toc9658"/>
      <w:r>
        <w:rPr>
          <w:rFonts w:hint="eastAsia" w:ascii="宋体" w:hAnsi="宋体" w:cs="宋体"/>
          <w:b/>
          <w:bCs/>
          <w:color w:val="auto"/>
          <w:sz w:val="30"/>
          <w:szCs w:val="30"/>
          <w:highlight w:val="none"/>
        </w:rPr>
        <w:t>九、</w:t>
      </w:r>
      <w:r>
        <w:rPr>
          <w:rFonts w:hint="eastAsia" w:ascii="宋体" w:hAnsi="宋体" w:cs="宋体"/>
          <w:b/>
          <w:bCs/>
          <w:color w:val="auto"/>
          <w:sz w:val="30"/>
          <w:szCs w:val="30"/>
          <w:highlight w:val="none"/>
          <w:lang w:eastAsia="zh-CN"/>
        </w:rPr>
        <w:t>响应人</w:t>
      </w:r>
      <w:r>
        <w:rPr>
          <w:rFonts w:hint="eastAsia" w:ascii="宋体" w:hAnsi="宋体" w:cs="宋体"/>
          <w:b/>
          <w:bCs/>
          <w:color w:val="auto"/>
          <w:sz w:val="30"/>
          <w:szCs w:val="30"/>
          <w:highlight w:val="none"/>
        </w:rPr>
        <w:t>认为应附的其他证明材料</w:t>
      </w:r>
      <w:bookmarkEnd w:id="318"/>
    </w:p>
    <w:bookmarkEnd w:id="319"/>
    <w:bookmarkEnd w:id="320"/>
    <w:bookmarkEnd w:id="321"/>
    <w:p w14:paraId="15D80C0D">
      <w:pPr>
        <w:rPr>
          <w:rFonts w:hint="eastAsia" w:ascii="宋体" w:hAnsi="宋体" w:eastAsia="宋体" w:cs="宋体"/>
          <w:color w:val="auto"/>
          <w:sz w:val="24"/>
          <w:szCs w:val="24"/>
          <w:highlight w:val="none"/>
        </w:rPr>
      </w:pPr>
      <w:bookmarkStart w:id="322" w:name="_Toc20432"/>
      <w:bookmarkStart w:id="323" w:name="_Toc18699"/>
      <w:bookmarkStart w:id="324" w:name="_Toc946"/>
    </w:p>
    <w:p w14:paraId="10E6FF91">
      <w:pPr>
        <w:rPr>
          <w:rFonts w:hint="eastAsia" w:ascii="宋体" w:hAnsi="宋体" w:eastAsia="宋体" w:cs="宋体"/>
          <w:color w:val="auto"/>
          <w:sz w:val="24"/>
          <w:szCs w:val="24"/>
          <w:highlight w:val="none"/>
        </w:rPr>
      </w:pPr>
    </w:p>
    <w:p w14:paraId="157A07F4">
      <w:pP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0C21C707">
      <w:pPr>
        <w:spacing w:line="0" w:lineRule="atLeast"/>
        <w:jc w:val="center"/>
        <w:outlineLvl w:val="1"/>
        <w:rPr>
          <w:rFonts w:hint="eastAsia" w:ascii="宋体" w:hAnsi="宋体" w:cs="宋体"/>
          <w:b/>
          <w:bCs/>
          <w:color w:val="auto"/>
          <w:sz w:val="30"/>
          <w:szCs w:val="30"/>
          <w:highlight w:val="none"/>
        </w:rPr>
      </w:pPr>
      <w:bookmarkStart w:id="325" w:name="_Toc27106"/>
      <w:r>
        <w:rPr>
          <w:rFonts w:hint="eastAsia" w:ascii="宋体" w:hAnsi="宋体" w:cs="宋体"/>
          <w:b/>
          <w:bCs/>
          <w:color w:val="auto"/>
          <w:sz w:val="30"/>
          <w:szCs w:val="30"/>
          <w:highlight w:val="none"/>
        </w:rPr>
        <w:t>十、</w:t>
      </w:r>
      <w:bookmarkEnd w:id="322"/>
      <w:bookmarkEnd w:id="323"/>
      <w:bookmarkEnd w:id="324"/>
      <w:r>
        <w:rPr>
          <w:rFonts w:hint="eastAsia" w:ascii="宋体" w:hAnsi="宋体" w:cs="宋体"/>
          <w:b/>
          <w:bCs/>
          <w:color w:val="auto"/>
          <w:sz w:val="30"/>
          <w:szCs w:val="30"/>
          <w:highlight w:val="none"/>
        </w:rPr>
        <w:t>中小微企业声明函、监狱企业证明材料</w:t>
      </w:r>
      <w:bookmarkEnd w:id="325"/>
    </w:p>
    <w:p w14:paraId="5AB66DEC">
      <w:pPr>
        <w:shd w:val="clear" w:color="auto" w:fill="FFFFFF"/>
        <w:tabs>
          <w:tab w:val="right" w:pos="6077"/>
        </w:tabs>
        <w:spacing w:line="560" w:lineRule="exact"/>
        <w:ind w:firstLine="643" w:firstLineChars="200"/>
        <w:rPr>
          <w:rStyle w:val="33"/>
          <w:rFonts w:ascii="宋体" w:hAnsi="宋体" w:cs="宋体"/>
          <w:b/>
          <w:bCs/>
          <w:color w:val="auto"/>
          <w:sz w:val="32"/>
          <w:szCs w:val="32"/>
          <w:highlight w:val="none"/>
        </w:rPr>
      </w:pPr>
    </w:p>
    <w:p w14:paraId="6EAFA612">
      <w:pPr>
        <w:jc w:val="center"/>
        <w:rPr>
          <w:rFonts w:hint="eastAsia" w:ascii="宋体" w:hAnsi="宋体" w:eastAsia="宋体" w:cs="宋体"/>
          <w:b/>
          <w:bCs/>
          <w:iCs/>
          <w:color w:val="auto"/>
          <w:sz w:val="24"/>
          <w:szCs w:val="24"/>
          <w:highlight w:val="none"/>
        </w:rPr>
      </w:pPr>
      <w:r>
        <w:rPr>
          <w:rFonts w:hint="eastAsia" w:ascii="宋体" w:hAnsi="宋体" w:eastAsia="宋体" w:cs="宋体"/>
          <w:b/>
          <w:bCs/>
          <w:iCs/>
          <w:color w:val="auto"/>
          <w:sz w:val="24"/>
          <w:szCs w:val="24"/>
          <w:highlight w:val="none"/>
        </w:rPr>
        <w:t>（属于中小微企业的填写，不属于的无需填写此项内容）</w:t>
      </w:r>
    </w:p>
    <w:p w14:paraId="01A178A1">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bidi="ar"/>
        </w:rPr>
        <w:t>附件1：</w:t>
      </w:r>
    </w:p>
    <w:p w14:paraId="2B441BC1">
      <w:pPr>
        <w:spacing w:line="48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val="0"/>
          <w:kern w:val="0"/>
          <w:sz w:val="24"/>
          <w:szCs w:val="24"/>
          <w:highlight w:val="none"/>
        </w:rPr>
        <w:t>中小企业声明函（</w:t>
      </w:r>
      <w:r>
        <w:rPr>
          <w:rFonts w:hint="eastAsia" w:ascii="宋体" w:hAnsi="宋体" w:eastAsia="宋体" w:cs="宋体"/>
          <w:b/>
          <w:bCs w:val="0"/>
          <w:kern w:val="0"/>
          <w:sz w:val="24"/>
          <w:szCs w:val="24"/>
          <w:highlight w:val="none"/>
          <w:lang w:val="en-US" w:eastAsia="zh-CN"/>
        </w:rPr>
        <w:t>服务</w:t>
      </w:r>
      <w:r>
        <w:rPr>
          <w:rFonts w:hint="eastAsia" w:ascii="宋体" w:hAnsi="宋体" w:eastAsia="宋体" w:cs="宋体"/>
          <w:b/>
          <w:bCs w:val="0"/>
          <w:kern w:val="0"/>
          <w:sz w:val="24"/>
          <w:szCs w:val="24"/>
          <w:highlight w:val="none"/>
        </w:rPr>
        <w:t>）</w:t>
      </w:r>
    </w:p>
    <w:p w14:paraId="33B27DB9">
      <w:pPr>
        <w:spacing w:before="312" w:beforeLines="100"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本公司（联合体）郑重声明，根据《政府采购促进中小企业发展管理办法》（财库﹝2020﹞46 号）的规定，本公司参加</w:t>
      </w:r>
      <w:r>
        <w:rPr>
          <w:rFonts w:hint="eastAsia" w:ascii="宋体" w:hAnsi="宋体" w:eastAsia="宋体" w:cs="宋体"/>
          <w:sz w:val="24"/>
          <w:szCs w:val="24"/>
          <w:highlight w:val="none"/>
          <w:u w:val="single"/>
        </w:rPr>
        <w:t>（单位名称）</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采购活动，工程的施工单位全部为符合政策要求的中小企业（或者：服务全部由符合政策要求的中小企业承接）。相关企业的具体情况如下：</w:t>
      </w:r>
    </w:p>
    <w:p w14:paraId="098BA2EF">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万元，属于（中型企业/小型企业/微型企业）；</w:t>
      </w:r>
    </w:p>
    <w:p w14:paraId="1BF09D8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r>
        <w:rPr>
          <w:rFonts w:hint="eastAsia" w:ascii="宋体" w:hAnsi="宋体" w:eastAsia="宋体" w:cs="宋体"/>
          <w:sz w:val="24"/>
          <w:szCs w:val="24"/>
          <w:highlight w:val="none"/>
          <w:u w:val="single"/>
        </w:rPr>
        <w:t xml:space="preserve">（标的名称） </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（采购文件中明确的所属行业）</w:t>
      </w:r>
      <w:r>
        <w:rPr>
          <w:rFonts w:hint="eastAsia" w:ascii="宋体" w:hAnsi="宋体" w:eastAsia="宋体" w:cs="宋体"/>
          <w:sz w:val="24"/>
          <w:szCs w:val="24"/>
          <w:highlight w:val="none"/>
        </w:rPr>
        <w:t>；承建（承接）企业为</w:t>
      </w:r>
      <w:r>
        <w:rPr>
          <w:rFonts w:hint="eastAsia" w:ascii="宋体" w:hAnsi="宋体" w:eastAsia="宋体" w:cs="宋体"/>
          <w:sz w:val="24"/>
          <w:szCs w:val="24"/>
          <w:highlight w:val="none"/>
          <w:u w:val="single"/>
        </w:rPr>
        <w:t>（企业名称）</w:t>
      </w:r>
      <w:r>
        <w:rPr>
          <w:rFonts w:hint="eastAsia" w:ascii="宋体" w:hAnsi="宋体" w:eastAsia="宋体" w:cs="宋体"/>
          <w:sz w:val="24"/>
          <w:szCs w:val="24"/>
          <w:highlight w:val="none"/>
        </w:rPr>
        <w:t>，从业人员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人，营业收入为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万元，资产总额为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万元，属于</w:t>
      </w:r>
      <w:r>
        <w:rPr>
          <w:rFonts w:hint="eastAsia" w:ascii="宋体" w:hAnsi="宋体" w:eastAsia="宋体" w:cs="宋体"/>
          <w:sz w:val="24"/>
          <w:szCs w:val="24"/>
          <w:highlight w:val="none"/>
          <w:u w:val="single"/>
        </w:rPr>
        <w:t>（中型企业/小型企业/微型企业）</w:t>
      </w:r>
      <w:r>
        <w:rPr>
          <w:rFonts w:hint="eastAsia" w:ascii="宋体" w:hAnsi="宋体" w:eastAsia="宋体" w:cs="宋体"/>
          <w:sz w:val="24"/>
          <w:szCs w:val="24"/>
          <w:highlight w:val="none"/>
        </w:rPr>
        <w:t>；</w:t>
      </w:r>
    </w:p>
    <w:p w14:paraId="610B1AF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0C9E81D9">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以上企业，不属于大企业的分支机构，不存在控股股东为大企业的情形，也不存在与大企业的负责人为同一人的情形。</w:t>
      </w:r>
    </w:p>
    <w:p w14:paraId="358ACCE7">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14:paraId="50722F8E">
      <w:pPr>
        <w:spacing w:line="360" w:lineRule="auto"/>
        <w:ind w:firstLine="638" w:firstLineChars="26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企业名称（盖公章）：</w:t>
      </w:r>
    </w:p>
    <w:p w14:paraId="376F812B">
      <w:pPr>
        <w:spacing w:line="360" w:lineRule="auto"/>
        <w:ind w:firstLine="638" w:firstLineChars="266"/>
        <w:jc w:val="left"/>
        <w:rPr>
          <w:rFonts w:hint="eastAsia" w:ascii="宋体" w:hAnsi="宋体" w:eastAsia="宋体" w:cs="宋体"/>
          <w:b/>
          <w:bCs/>
          <w:sz w:val="24"/>
          <w:szCs w:val="24"/>
          <w:highlight w:val="none"/>
        </w:rPr>
      </w:pPr>
      <w:r>
        <w:rPr>
          <w:rFonts w:hint="eastAsia" w:ascii="宋体" w:hAnsi="宋体" w:eastAsia="宋体" w:cs="宋体"/>
          <w:sz w:val="24"/>
          <w:szCs w:val="24"/>
          <w:highlight w:val="none"/>
        </w:rPr>
        <w:t>日期：</w:t>
      </w:r>
    </w:p>
    <w:p w14:paraId="00CC7BB6">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注：1、从业人员、营业收入、资产总额填报上一年度数据，无上一年度数据的新成立企业可不填报。</w:t>
      </w:r>
    </w:p>
    <w:p w14:paraId="64FFA346">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highlight w:val="none"/>
        </w:rPr>
      </w:pPr>
      <w:r>
        <w:rPr>
          <w:rFonts w:hint="eastAsia" w:ascii="宋体" w:hAnsi="宋体" w:eastAsia="宋体" w:cs="宋体"/>
          <w:b/>
          <w:bCs/>
          <w:kern w:val="2"/>
          <w:sz w:val="24"/>
          <w:szCs w:val="24"/>
          <w:highlight w:val="none"/>
          <w:lang w:val="en-US" w:eastAsia="zh-CN" w:bidi="ar-SA"/>
        </w:rPr>
        <w:t>2、</w:t>
      </w:r>
      <w:r>
        <w:rPr>
          <w:rFonts w:hint="eastAsia" w:ascii="宋体" w:hAnsi="宋体" w:eastAsia="宋体" w:cs="宋体"/>
          <w:b/>
          <w:bCs/>
          <w:sz w:val="24"/>
          <w:szCs w:val="24"/>
          <w:highlight w:val="none"/>
        </w:rPr>
        <w:t>中小企业划分标准见工业和信息化部国家统计局国家发展和改革委员财政部《关于印发中小企业划型标准规定的通知》（工信部联企业【2011】300号）。</w:t>
      </w:r>
    </w:p>
    <w:p w14:paraId="34515CEB">
      <w:pPr>
        <w:keepNext w:val="0"/>
        <w:keepLines w:val="0"/>
        <w:pageBreakBefore w:val="0"/>
        <w:widowControl/>
        <w:numPr>
          <w:ilvl w:val="0"/>
          <w:numId w:val="0"/>
        </w:numPr>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本次采购标的对应的中小企业划分标准所属行业均为“其他未列明行业”。</w:t>
      </w:r>
    </w:p>
    <w:p w14:paraId="214B7E93">
      <w:pPr>
        <w:pStyle w:val="11"/>
        <w:ind w:firstLine="632"/>
        <w:rPr>
          <w:rFonts w:ascii="宋体" w:hAnsi="宋体" w:cs="宋体"/>
          <w:b/>
          <w:bCs/>
          <w:color w:val="000000"/>
          <w:sz w:val="28"/>
          <w:szCs w:val="28"/>
          <w:highlight w:val="none"/>
        </w:rPr>
      </w:pPr>
    </w:p>
    <w:p w14:paraId="0BC2A17D">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b/>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br w:type="page"/>
      </w:r>
      <w:r>
        <w:rPr>
          <w:rFonts w:hint="eastAsia" w:ascii="宋体" w:hAnsi="宋体" w:eastAsia="宋体" w:cs="宋体"/>
          <w:b/>
          <w:bCs w:val="0"/>
          <w:color w:val="auto"/>
          <w:kern w:val="0"/>
          <w:sz w:val="24"/>
          <w:szCs w:val="24"/>
          <w:highlight w:val="none"/>
          <w:lang w:val="en-US" w:eastAsia="zh-CN" w:bidi="ar"/>
        </w:rPr>
        <w:t>附件2：监狱企业证明文件（非监狱企业可不附此表）</w:t>
      </w:r>
    </w:p>
    <w:p w14:paraId="3F4F972A">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p w14:paraId="3C1FAF63">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p w14:paraId="522AA45A">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p w14:paraId="569BA205">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监狱企业证明文件（参考格式）</w:t>
      </w:r>
    </w:p>
    <w:p w14:paraId="787BB0C6">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p>
    <w:p w14:paraId="52A9387C">
      <w:pPr>
        <w:keepNext w:val="0"/>
        <w:keepLines w:val="0"/>
        <w:widowControl w:val="0"/>
        <w:suppressLineNumbers w:val="0"/>
        <w:autoSpaceDE w:val="0"/>
        <w:autoSpaceDN w:val="0"/>
        <w:spacing w:before="0" w:beforeAutospacing="0" w:after="0" w:afterAutospacing="0"/>
        <w:ind w:left="0" w:right="0" w:firstLine="423" w:firstLineChars="168"/>
        <w:jc w:val="left"/>
        <w:rPr>
          <w:rFonts w:hint="eastAsia" w:ascii="宋体" w:hAnsi="宋体" w:eastAsia="宋体" w:cs="宋体"/>
          <w:color w:val="auto"/>
          <w:spacing w:val="6"/>
          <w:sz w:val="24"/>
          <w:szCs w:val="24"/>
          <w:highlight w:val="none"/>
          <w:lang w:val="en-US" w:eastAsia="zh-CN"/>
        </w:rPr>
      </w:pPr>
    </w:p>
    <w:p w14:paraId="01891E70">
      <w:pPr>
        <w:keepNext w:val="0"/>
        <w:keepLines w:val="0"/>
        <w:widowControl w:val="0"/>
        <w:suppressLineNumbers w:val="0"/>
        <w:autoSpaceDE w:val="0"/>
        <w:autoSpaceDN w:val="0"/>
        <w:spacing w:before="0" w:beforeAutospacing="0" w:after="0" w:afterAutospacing="0"/>
        <w:ind w:left="0" w:right="0" w:firstLine="423" w:firstLineChars="168"/>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bidi="ar"/>
        </w:rPr>
        <w:t>省级以上监狱管理局、戒毒管理局（含新疆生产建设兵团）出具的属于监狱企业的证明文件。</w:t>
      </w:r>
    </w:p>
    <w:p w14:paraId="1D410BE1">
      <w:pPr>
        <w:keepNext w:val="0"/>
        <w:keepLines w:val="0"/>
        <w:widowControl w:val="0"/>
        <w:suppressLineNumbers w:val="0"/>
        <w:autoSpaceDE w:val="0"/>
        <w:autoSpaceDN w:val="0"/>
        <w:spacing w:before="0" w:beforeAutospacing="0" w:after="0" w:afterAutospacing="0" w:line="588" w:lineRule="exact"/>
        <w:ind w:left="0" w:right="0"/>
        <w:jc w:val="left"/>
        <w:rPr>
          <w:rFonts w:hint="eastAsia" w:ascii="宋体" w:hAnsi="宋体" w:eastAsia="宋体" w:cs="宋体"/>
          <w:b/>
          <w:bCs w:val="0"/>
          <w:color w:val="auto"/>
          <w:spacing w:val="6"/>
          <w:sz w:val="24"/>
          <w:szCs w:val="24"/>
          <w:highlight w:val="none"/>
          <w:lang w:val="en-US" w:eastAsia="zh-CN"/>
        </w:rPr>
      </w:pPr>
      <w:r>
        <w:rPr>
          <w:rFonts w:hint="eastAsia" w:ascii="宋体" w:hAnsi="宋体" w:eastAsia="宋体" w:cs="宋体"/>
          <w:b/>
          <w:bCs w:val="0"/>
          <w:color w:val="auto"/>
          <w:spacing w:val="6"/>
          <w:sz w:val="24"/>
          <w:szCs w:val="24"/>
          <w:highlight w:val="none"/>
          <w:lang w:val="en-US" w:eastAsia="zh-CN" w:bidi="ar"/>
        </w:rPr>
        <w:br w:type="page"/>
      </w:r>
      <w:r>
        <w:rPr>
          <w:rFonts w:hint="eastAsia" w:ascii="宋体" w:hAnsi="宋体" w:eastAsia="宋体" w:cs="宋体"/>
          <w:b/>
          <w:bCs w:val="0"/>
          <w:color w:val="auto"/>
          <w:kern w:val="0"/>
          <w:sz w:val="24"/>
          <w:szCs w:val="24"/>
          <w:highlight w:val="none"/>
          <w:lang w:val="en-US" w:eastAsia="zh-CN" w:bidi="ar"/>
        </w:rPr>
        <w:t>附件3：残疾人福利性单位声明函（非残疾人福利性单位可不附此表）</w:t>
      </w:r>
    </w:p>
    <w:p w14:paraId="4FF0E9B9">
      <w:pPr>
        <w:keepNext w:val="0"/>
        <w:keepLines w:val="0"/>
        <w:widowControl w:val="0"/>
        <w:suppressLineNumbers w:val="0"/>
        <w:autoSpaceDE w:val="0"/>
        <w:autoSpaceDN w:val="0"/>
        <w:spacing w:before="0" w:beforeAutospacing="0" w:after="0" w:afterAutospacing="0" w:line="588" w:lineRule="exact"/>
        <w:ind w:left="0" w:right="0"/>
        <w:jc w:val="center"/>
        <w:rPr>
          <w:rFonts w:hint="eastAsia" w:ascii="宋体" w:hAnsi="宋体" w:eastAsia="宋体" w:cs="宋体"/>
          <w:b/>
          <w:bCs w:val="0"/>
          <w:color w:val="auto"/>
          <w:spacing w:val="6"/>
          <w:sz w:val="24"/>
          <w:szCs w:val="24"/>
          <w:highlight w:val="none"/>
          <w:lang w:val="en-US" w:eastAsia="zh-CN"/>
        </w:rPr>
      </w:pPr>
    </w:p>
    <w:p w14:paraId="6A602542">
      <w:pPr>
        <w:keepNext w:val="0"/>
        <w:keepLines w:val="0"/>
        <w:widowControl w:val="0"/>
        <w:suppressLineNumbers w:val="0"/>
        <w:autoSpaceDE w:val="0"/>
        <w:autoSpaceDN w:val="0"/>
        <w:spacing w:before="0" w:beforeAutospacing="0" w:after="0" w:afterAutospacing="0" w:line="588" w:lineRule="exact"/>
        <w:ind w:left="0" w:right="0"/>
        <w:jc w:val="center"/>
        <w:rPr>
          <w:rFonts w:hint="eastAsia" w:ascii="宋体" w:hAnsi="宋体" w:eastAsia="宋体" w:cs="宋体"/>
          <w:b/>
          <w:bCs w:val="0"/>
          <w:color w:val="auto"/>
          <w:spacing w:val="6"/>
          <w:sz w:val="24"/>
          <w:szCs w:val="24"/>
          <w:highlight w:val="none"/>
          <w:lang w:val="en-US" w:eastAsia="zh-CN"/>
        </w:rPr>
      </w:pPr>
    </w:p>
    <w:p w14:paraId="73688ABF">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残疾人福利性单位声明函</w:t>
      </w:r>
    </w:p>
    <w:p w14:paraId="1B349D41">
      <w:pPr>
        <w:keepNext w:val="0"/>
        <w:keepLines w:val="0"/>
        <w:widowControl w:val="0"/>
        <w:suppressLineNumbers w:val="0"/>
        <w:autoSpaceDE w:val="0"/>
        <w:autoSpaceDN w:val="0"/>
        <w:spacing w:before="0" w:beforeAutospacing="0" w:after="0" w:afterAutospacing="0" w:line="588" w:lineRule="exact"/>
        <w:ind w:left="0" w:right="0"/>
        <w:jc w:val="left"/>
        <w:rPr>
          <w:rFonts w:hint="eastAsia" w:ascii="宋体" w:hAnsi="宋体" w:eastAsia="宋体" w:cs="宋体"/>
          <w:b/>
          <w:bCs w:val="0"/>
          <w:color w:val="auto"/>
          <w:spacing w:val="6"/>
          <w:sz w:val="24"/>
          <w:szCs w:val="24"/>
          <w:highlight w:val="none"/>
          <w:lang w:val="en-US" w:eastAsia="zh-CN"/>
        </w:rPr>
      </w:pPr>
    </w:p>
    <w:p w14:paraId="5CEF9E9C">
      <w:pPr>
        <w:keepNext w:val="0"/>
        <w:keepLines w:val="0"/>
        <w:widowControl w:val="0"/>
        <w:suppressLineNumbers w:val="0"/>
        <w:autoSpaceDE w:val="0"/>
        <w:autoSpaceDN w:val="0"/>
        <w:spacing w:before="0" w:beforeAutospacing="0" w:after="0" w:afterAutospacing="0" w:line="588" w:lineRule="exact"/>
        <w:ind w:left="0" w:right="0" w:firstLine="504" w:firstLineChars="20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bidi="ar"/>
        </w:rPr>
        <w:t>本单位郑重声明，根据《财政部 民政部 中国残疾人联合会关于促进残疾人就业政府采购政策的通知》（财库</w:t>
      </w:r>
      <w:r>
        <w:rPr>
          <w:rFonts w:hint="eastAsia" w:ascii="宋体" w:hAnsi="宋体" w:eastAsia="宋体" w:cs="宋体"/>
          <w:color w:val="auto"/>
          <w:kern w:val="0"/>
          <w:sz w:val="24"/>
          <w:szCs w:val="24"/>
          <w:highlight w:val="none"/>
          <w:lang w:val="en-US" w:eastAsia="zh-CN" w:bidi="ar"/>
        </w:rPr>
        <w:t>〔2017〕 141</w:t>
      </w:r>
      <w:r>
        <w:rPr>
          <w:rFonts w:hint="eastAsia" w:ascii="宋体" w:hAnsi="宋体" w:eastAsia="宋体" w:cs="宋体"/>
          <w:color w:val="auto"/>
          <w:spacing w:val="6"/>
          <w:kern w:val="0"/>
          <w:sz w:val="24"/>
          <w:szCs w:val="24"/>
          <w:highlight w:val="none"/>
          <w:lang w:val="en-US" w:eastAsia="zh-CN" w:bidi="ar"/>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4A28BC2">
      <w:pPr>
        <w:keepNext w:val="0"/>
        <w:keepLines w:val="0"/>
        <w:widowControl w:val="0"/>
        <w:suppressLineNumbers w:val="0"/>
        <w:autoSpaceDE w:val="0"/>
        <w:autoSpaceDN w:val="0"/>
        <w:spacing w:before="0" w:beforeAutospacing="0" w:after="0" w:afterAutospacing="0" w:line="588" w:lineRule="exact"/>
        <w:ind w:left="0" w:right="0" w:firstLine="504" w:firstLineChars="200"/>
        <w:jc w:val="left"/>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bidi="ar"/>
        </w:rPr>
        <w:t>本单位对上述声明的真实性负责。如有虚假，将依法承担相应责任。</w:t>
      </w:r>
    </w:p>
    <w:p w14:paraId="0D54BA0F">
      <w:pPr>
        <w:keepNext w:val="0"/>
        <w:keepLines w:val="0"/>
        <w:widowControl w:val="0"/>
        <w:suppressLineNumbers w:val="0"/>
        <w:autoSpaceDE w:val="0"/>
        <w:autoSpaceDN w:val="0"/>
        <w:spacing w:before="0" w:beforeAutospacing="0" w:after="0" w:afterAutospacing="0" w:line="588" w:lineRule="exact"/>
        <w:ind w:left="0" w:right="0" w:firstLine="504" w:firstLineChars="200"/>
        <w:jc w:val="left"/>
        <w:rPr>
          <w:rFonts w:hint="eastAsia" w:ascii="宋体" w:hAnsi="宋体" w:eastAsia="宋体" w:cs="宋体"/>
          <w:color w:val="auto"/>
          <w:spacing w:val="6"/>
          <w:sz w:val="24"/>
          <w:szCs w:val="24"/>
          <w:highlight w:val="none"/>
          <w:lang w:val="en-US" w:eastAsia="zh-CN"/>
        </w:rPr>
      </w:pPr>
    </w:p>
    <w:p w14:paraId="2E558096">
      <w:pPr>
        <w:keepNext w:val="0"/>
        <w:keepLines w:val="0"/>
        <w:widowControl w:val="0"/>
        <w:suppressLineNumbers w:val="0"/>
        <w:autoSpaceDE w:val="0"/>
        <w:autoSpaceDN w:val="0"/>
        <w:spacing w:before="0" w:beforeAutospacing="0" w:after="0" w:afterAutospacing="0" w:line="588" w:lineRule="exact"/>
        <w:ind w:left="0" w:right="0" w:firstLine="504" w:firstLineChars="200"/>
        <w:jc w:val="left"/>
        <w:rPr>
          <w:rFonts w:hint="eastAsia" w:ascii="宋体" w:hAnsi="宋体" w:eastAsia="宋体" w:cs="宋体"/>
          <w:color w:val="auto"/>
          <w:spacing w:val="6"/>
          <w:sz w:val="24"/>
          <w:szCs w:val="24"/>
          <w:highlight w:val="none"/>
          <w:lang w:val="en-US" w:eastAsia="zh-CN"/>
        </w:rPr>
      </w:pPr>
    </w:p>
    <w:p w14:paraId="3816C5DC">
      <w:pPr>
        <w:keepNext w:val="0"/>
        <w:keepLines w:val="0"/>
        <w:widowControl w:val="0"/>
        <w:suppressLineNumbers w:val="0"/>
        <w:tabs>
          <w:tab w:val="left" w:pos="4860"/>
        </w:tabs>
        <w:autoSpaceDE w:val="0"/>
        <w:autoSpaceDN w:val="0"/>
        <w:spacing w:before="0" w:beforeAutospacing="0" w:after="0" w:afterAutospacing="0" w:line="588" w:lineRule="exact"/>
        <w:ind w:left="0" w:right="1560" w:firstLine="504" w:firstLineChars="20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bidi="ar"/>
        </w:rPr>
        <w:t xml:space="preserve">               单位名称（盖章）：</w:t>
      </w:r>
    </w:p>
    <w:p w14:paraId="2597B7BD">
      <w:pPr>
        <w:keepNext w:val="0"/>
        <w:keepLines w:val="0"/>
        <w:widowControl w:val="0"/>
        <w:suppressLineNumbers w:val="0"/>
        <w:tabs>
          <w:tab w:val="left" w:pos="4860"/>
        </w:tabs>
        <w:autoSpaceDE w:val="0"/>
        <w:autoSpaceDN w:val="0"/>
        <w:spacing w:before="0" w:beforeAutospacing="0" w:after="0" w:afterAutospacing="0" w:line="588" w:lineRule="exact"/>
        <w:ind w:left="0" w:right="1560" w:firstLine="504" w:firstLineChars="200"/>
        <w:jc w:val="center"/>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kern w:val="0"/>
          <w:sz w:val="24"/>
          <w:szCs w:val="24"/>
          <w:highlight w:val="none"/>
          <w:lang w:val="en-US" w:eastAsia="zh-CN" w:bidi="ar"/>
        </w:rPr>
        <w:t xml:space="preserve">       日  期：</w:t>
      </w:r>
    </w:p>
    <w:p w14:paraId="79D0212C">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p>
    <w:p w14:paraId="540AC361">
      <w:pPr>
        <w:keepNext w:val="0"/>
        <w:keepLines w:val="0"/>
        <w:widowControl w:val="0"/>
        <w:suppressLineNumbers w:val="0"/>
        <w:autoSpaceDE w:val="0"/>
        <w:autoSpaceDN w:val="0"/>
        <w:spacing w:before="0" w:beforeAutospacing="0" w:after="0" w:afterAutospacing="0"/>
        <w:ind w:left="0" w:right="0"/>
        <w:jc w:val="left"/>
        <w:rPr>
          <w:rFonts w:hint="eastAsia" w:ascii="宋体" w:hAnsi="宋体" w:eastAsia="宋体" w:cs="宋体"/>
          <w:color w:val="auto"/>
          <w:sz w:val="24"/>
          <w:szCs w:val="24"/>
          <w:highlight w:val="none"/>
          <w:lang w:val="en-US" w:eastAsia="zh-CN"/>
        </w:rPr>
      </w:pPr>
    </w:p>
    <w:p w14:paraId="696DC971">
      <w:pPr>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br w:type="page"/>
      </w:r>
    </w:p>
    <w:p w14:paraId="05CDD5BE">
      <w:pPr>
        <w:keepNext w:val="0"/>
        <w:keepLines w:val="0"/>
        <w:widowControl w:val="0"/>
        <w:suppressLineNumbers w:val="0"/>
        <w:autoSpaceDE w:val="0"/>
        <w:autoSpaceDN w:val="0"/>
        <w:spacing w:before="0" w:beforeAutospacing="0" w:after="0" w:afterAutospacing="0"/>
        <w:ind w:left="0" w:right="0"/>
        <w:jc w:val="cente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中小企业划型标准规定</w:t>
      </w:r>
    </w:p>
    <w:p w14:paraId="29AD075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一、根据《中华人民共和国中小企业促进法》和《国务院关于进一步促进中小企业发展的若干意见》(国发〔2009〕36号)，制定本规定。</w:t>
      </w:r>
    </w:p>
    <w:p w14:paraId="0B4400C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二、中小企业划分为中型、小型、微型三种类型，具体标准根据企业从业人员、营业收入、资产总额等指标，结合行业特点制定。</w:t>
      </w:r>
    </w:p>
    <w:p w14:paraId="0000587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DB52803">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bookmarkStart w:id="326" w:name="_Toc16174"/>
      <w:r>
        <w:rPr>
          <w:rFonts w:hint="eastAsia" w:ascii="宋体" w:hAnsi="宋体" w:eastAsia="宋体" w:cs="宋体"/>
          <w:color w:val="auto"/>
          <w:kern w:val="2"/>
          <w:sz w:val="24"/>
          <w:szCs w:val="24"/>
          <w:highlight w:val="none"/>
          <w:lang w:val="en-US" w:eastAsia="zh-CN" w:bidi="ar"/>
        </w:rPr>
        <w:t>四、各行业划型标准为</w:t>
      </w:r>
      <w:bookmarkEnd w:id="326"/>
    </w:p>
    <w:p w14:paraId="2A01A38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（一）农、林、牧、渔业。营业收入20000万元以下的为中小微型企业。其中，营业收入500万元及以上的为中型企业，营业收入50万元及以上的为小型企业，营业收入50万元以下的为微型企业。</w:t>
      </w:r>
    </w:p>
    <w:p w14:paraId="043E609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122D71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1E061C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82A6BD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BC43DC">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CB4473F">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340EC96">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756DC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AC80907">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585510D">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A094151">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E65D6B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531B031">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9FC5083">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shd w:val="clear" w:fill="FFFFFF"/>
          <w:lang w:val="en-US"/>
        </w:rPr>
      </w:pPr>
      <w:r>
        <w:rPr>
          <w:rFonts w:hint="eastAsia" w:ascii="宋体" w:hAnsi="宋体" w:eastAsia="宋体" w:cs="宋体"/>
          <w:color w:val="auto"/>
          <w:kern w:val="2"/>
          <w:sz w:val="24"/>
          <w:szCs w:val="24"/>
          <w:highlight w:val="none"/>
          <w:shd w:val="clear" w:fill="FFFFFF"/>
          <w:lang w:val="en-US" w:eastAsia="zh-CN" w:bidi="ar"/>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C23EBE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shd w:val="clear" w:fill="FFFFFF"/>
          <w:lang w:val="en-US" w:eastAsia="zh-CN" w:bidi="ar"/>
        </w:rPr>
        <w:t>（十六）其他未列明行业。从业人员300人以下的为中小微型企业。其中，从业人员100人及以上的为中型企业；从业人员10人及以上的为小型企业；从业人员10人以下的为微型企业。</w:t>
      </w:r>
    </w:p>
    <w:p w14:paraId="78C46B51">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bookmarkStart w:id="327" w:name="_Toc21682"/>
      <w:r>
        <w:rPr>
          <w:rFonts w:hint="eastAsia" w:ascii="宋体" w:hAnsi="宋体" w:eastAsia="宋体" w:cs="宋体"/>
          <w:color w:val="auto"/>
          <w:kern w:val="2"/>
          <w:sz w:val="24"/>
          <w:szCs w:val="24"/>
          <w:highlight w:val="none"/>
          <w:lang w:val="en-US" w:eastAsia="zh-CN" w:bidi="ar"/>
        </w:rPr>
        <w:t>五、企业类型的划分以统计部门的统计数据为依据。</w:t>
      </w:r>
      <w:bookmarkEnd w:id="327"/>
    </w:p>
    <w:p w14:paraId="65B6A2AA">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六、本规定适用于在中华人民共和国境内依法设立的各类所有制和各种组织形式的企业。个体工商户和本规定以外的行业，参照本规定进行划型。</w:t>
      </w:r>
    </w:p>
    <w:p w14:paraId="4DC8E32C">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七、本规定的中型企业标准上限即为大型企业标准的下限，国家统计部门据此制定大中小微型企业的统计分类。国务院有关部门据此进行相关数据分析，不得制定与本规定不一致的企业划型标准。</w:t>
      </w:r>
    </w:p>
    <w:p w14:paraId="6C3145E4">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八、本规定由工业和信息化部、国家统计局会同有关部门根据《国民经济行业分类》修订情况和企业发展变化情况适时修订。</w:t>
      </w:r>
    </w:p>
    <w:p w14:paraId="24D8568D">
      <w:pPr>
        <w:keepNext w:val="0"/>
        <w:keepLines w:val="0"/>
        <w:widowControl/>
        <w:suppressLineNumbers w:val="0"/>
        <w:spacing w:before="0" w:beforeAutospacing="0" w:after="0" w:afterAutospacing="0" w:line="500" w:lineRule="exact"/>
        <w:ind w:left="0" w:right="0" w:firstLine="480" w:firstLineChars="200"/>
        <w:jc w:val="left"/>
        <w:outlineLvl w:val="1"/>
        <w:rPr>
          <w:rFonts w:hint="eastAsia" w:ascii="宋体" w:hAnsi="宋体" w:eastAsia="宋体" w:cs="宋体"/>
          <w:color w:val="auto"/>
          <w:sz w:val="24"/>
          <w:szCs w:val="24"/>
          <w:highlight w:val="none"/>
          <w:lang w:val="en-US"/>
        </w:rPr>
      </w:pPr>
      <w:bookmarkStart w:id="328" w:name="_Toc22360"/>
      <w:r>
        <w:rPr>
          <w:rFonts w:hint="eastAsia" w:ascii="宋体" w:hAnsi="宋体" w:eastAsia="宋体" w:cs="宋体"/>
          <w:color w:val="auto"/>
          <w:kern w:val="2"/>
          <w:sz w:val="24"/>
          <w:szCs w:val="24"/>
          <w:highlight w:val="none"/>
          <w:lang w:val="en-US" w:eastAsia="zh-CN" w:bidi="ar"/>
        </w:rPr>
        <w:t>九、本规定由工业和信息化部、国家统计局会同有关部门负责解释。</w:t>
      </w:r>
      <w:bookmarkEnd w:id="328"/>
    </w:p>
    <w:p w14:paraId="52E6E35B">
      <w:pPr>
        <w:keepNext w:val="0"/>
        <w:keepLines w:val="0"/>
        <w:widowControl/>
        <w:suppressLineNumbers w:val="0"/>
        <w:spacing w:before="0" w:beforeAutospacing="0" w:after="0" w:afterAutospacing="0" w:line="50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十、本规定自发布之日起执行，原国家经贸委、原国家计委、财政部和国家统计局2003年颁布的《中小企业标准暂行规定》同时废止。</w:t>
      </w:r>
    </w:p>
    <w:bookmarkEnd w:id="307"/>
    <w:bookmarkEnd w:id="308"/>
    <w:bookmarkEnd w:id="309"/>
    <w:bookmarkEnd w:id="310"/>
    <w:bookmarkEnd w:id="311"/>
    <w:bookmarkEnd w:id="312"/>
    <w:bookmarkEnd w:id="313"/>
    <w:p w14:paraId="7C1F8E71">
      <w:pPr>
        <w:spacing w:line="0" w:lineRule="atLeast"/>
        <w:jc w:val="center"/>
        <w:outlineLvl w:val="1"/>
        <w:rPr>
          <w:rFonts w:hint="eastAsia" w:ascii="宋体" w:hAnsi="宋体" w:cs="宋体"/>
          <w:b/>
          <w:bCs/>
          <w:color w:val="auto"/>
          <w:sz w:val="30"/>
          <w:szCs w:val="30"/>
          <w:highlight w:val="none"/>
        </w:rPr>
      </w:pPr>
    </w:p>
    <w:sectPr>
      <w:footerReference r:id="rId10" w:type="default"/>
      <w:pgSz w:w="11906" w:h="16838"/>
      <w:pgMar w:top="1247" w:right="1134" w:bottom="1077" w:left="1134"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7D329">
    <w:pPr>
      <w:pStyle w:val="12"/>
      <w:jc w:val="center"/>
    </w:pPr>
  </w:p>
  <w:p w14:paraId="47CDF6D0">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3D2FC">
    <w:pPr>
      <w:pStyle w:val="12"/>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93AA">
    <w:pPr>
      <w:pStyle w:val="12"/>
      <w:jc w:val="center"/>
    </w:pPr>
  </w:p>
  <w:p w14:paraId="06ED500A">
    <w:pPr>
      <w:pStyle w:val="12"/>
      <w:rPr>
        <w:rFonts w:hint="eastAsia" w:cs="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6E140">
    <w:pPr>
      <w:pStyle w:val="12"/>
      <w:jc w:val="cente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99DAB7">
                          <w:pPr>
                            <w:pStyle w:val="12"/>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33</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499DAB7">
                    <w:pPr>
                      <w:pStyle w:val="12"/>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33</w:t>
                    </w:r>
                    <w:r>
                      <w:rPr>
                        <w:rFonts w:hint="eastAsia" w:ascii="宋体" w:hAnsi="宋体" w:eastAsia="宋体" w:cs="宋体"/>
                        <w:sz w:val="21"/>
                        <w:szCs w:val="21"/>
                      </w:rPr>
                      <w:fldChar w:fldCharType="end"/>
                    </w:r>
                  </w:p>
                </w:txbxContent>
              </v:textbox>
            </v:shape>
          </w:pict>
        </mc:Fallback>
      </mc:AlternateContent>
    </w:r>
  </w:p>
  <w:p w14:paraId="3C162B19">
    <w:pPr>
      <w:pStyle w:val="12"/>
      <w:rPr>
        <w:rFonts w:hint="eastAsia" w:cs="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92CC">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7DA23D28">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right;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Ickdt0PAgAAEAQAAA4AAAAAAAAAAQAgAAAA&#10;HwEAAGRycy9lMm9Eb2MueG1sUEsFBgAAAAAGAAYAWQEAAKAFAAAAAA==&#10;">
              <v:fill on="f" focussize="0,0"/>
              <v:stroke on="f"/>
              <v:imagedata o:title=""/>
              <o:lock v:ext="edit" aspectratio="f"/>
              <v:textbox inset="0mm,0mm,0mm,0mm" style="mso-fit-shape-to-text:t;">
                <w:txbxContent>
                  <w:p w14:paraId="7DA23D28">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C99D">
    <w:pPr>
      <w:pStyle w:val="12"/>
      <w:jc w:val="cente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80FFB">
                          <w:pPr>
                            <w:pStyle w:val="12"/>
                            <w:jc w:val="center"/>
                          </w:pPr>
                          <w:r>
                            <w:fldChar w:fldCharType="begin"/>
                          </w:r>
                          <w:r>
                            <w:instrText xml:space="preserve"> PAGE   \* MERGEFORMAT </w:instrText>
                          </w:r>
                          <w:r>
                            <w:fldChar w:fldCharType="separate"/>
                          </w:r>
                          <w:r>
                            <w:rPr>
                              <w:lang w:val="zh-CN"/>
                            </w:rPr>
                            <w:t>46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5AA80FFB">
                    <w:pPr>
                      <w:pStyle w:val="12"/>
                      <w:jc w:val="center"/>
                    </w:pPr>
                    <w:r>
                      <w:fldChar w:fldCharType="begin"/>
                    </w:r>
                    <w:r>
                      <w:instrText xml:space="preserve"> PAGE   \* MERGEFORMAT </w:instrText>
                    </w:r>
                    <w:r>
                      <w:fldChar w:fldCharType="separate"/>
                    </w:r>
                    <w:r>
                      <w:rPr>
                        <w:lang w:val="zh-CN"/>
                      </w:rPr>
                      <w:t>46</w:t>
                    </w:r>
                    <w:r>
                      <w:fldChar w:fldCharType="end"/>
                    </w:r>
                  </w:p>
                </w:txbxContent>
              </v:textbox>
            </v:shape>
          </w:pict>
        </mc:Fallback>
      </mc:AlternateContent>
    </w:r>
  </w:p>
  <w:p w14:paraId="16861F0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A5935">
    <w:pPr>
      <w:pStyle w:val="13"/>
      <w:ind w:firstLine="360" w:firstLineChars="200"/>
      <w:rPr>
        <w:rFonts w:hint="default"/>
        <w:sz w:val="18"/>
        <w:szCs w:val="18"/>
        <w:u w:val="single"/>
        <w:lang w:val="en-US"/>
      </w:rPr>
    </w:pPr>
    <w:r>
      <w:rPr>
        <w:sz w:val="18"/>
        <w:szCs w:val="18"/>
        <w:u w:val="single"/>
      </w:rPr>
      <w:drawing>
        <wp:anchor distT="0" distB="0" distL="114300" distR="114300" simplePos="0" relativeHeight="251662336" behindDoc="0" locked="0" layoutInCell="1" allowOverlap="1">
          <wp:simplePos x="0" y="0"/>
          <wp:positionH relativeFrom="column">
            <wp:posOffset>15875</wp:posOffset>
          </wp:positionH>
          <wp:positionV relativeFrom="paragraph">
            <wp:posOffset>-40640</wp:posOffset>
          </wp:positionV>
          <wp:extent cx="191135" cy="188595"/>
          <wp:effectExtent l="0" t="0" r="18415" b="1905"/>
          <wp:wrapNone/>
          <wp:docPr id="15" name="图片 15" descr="微信截图_202503041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截图_20250304170621"/>
                  <pic:cNvPicPr>
                    <a:picLocks noChangeAspect="1"/>
                  </pic:cNvPicPr>
                </pic:nvPicPr>
                <pic:blipFill>
                  <a:blip r:embed="rId1"/>
                  <a:stretch>
                    <a:fillRect/>
                  </a:stretch>
                </pic:blipFill>
                <pic:spPr>
                  <a:xfrm>
                    <a:off x="0" y="0"/>
                    <a:ext cx="191135" cy="188595"/>
                  </a:xfrm>
                  <a:prstGeom prst="rect">
                    <a:avLst/>
                  </a:prstGeom>
                </pic:spPr>
              </pic:pic>
            </a:graphicData>
          </a:graphic>
        </wp:anchor>
      </w:drawing>
    </w:r>
    <w:r>
      <w:rPr>
        <w:rFonts w:hint="eastAsia" w:ascii="宋体" w:hAnsi="宋体" w:cs="宋体"/>
        <w:color w:val="auto"/>
        <w:sz w:val="18"/>
        <w:szCs w:val="18"/>
        <w:highlight w:val="none"/>
        <w:u w:val="single"/>
        <w:lang w:eastAsia="zh-CN"/>
      </w:rPr>
      <w:t>灵宝市“十五五”规划编制项目</w:t>
    </w:r>
    <w:r>
      <w:rPr>
        <w:rFonts w:hint="eastAsia" w:ascii="宋体" w:hAnsi="宋体" w:eastAsia="宋体" w:cs="宋体"/>
        <w:color w:val="auto"/>
        <w:sz w:val="18"/>
        <w:szCs w:val="18"/>
        <w:highlight w:val="none"/>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E500">
    <w:pPr>
      <w:pStyle w:val="13"/>
      <w:ind w:firstLine="360" w:firstLineChars="200"/>
      <w:rPr>
        <w:rFonts w:hint="default"/>
        <w:sz w:val="18"/>
        <w:szCs w:val="18"/>
        <w:u w:val="single"/>
        <w:lang w:val="en-US"/>
      </w:rPr>
    </w:pPr>
    <w:r>
      <w:rPr>
        <w:sz w:val="18"/>
        <w:szCs w:val="18"/>
        <w:u w:val="single"/>
      </w:rPr>
      <w:drawing>
        <wp:anchor distT="0" distB="0" distL="114300" distR="114300" simplePos="0" relativeHeight="251663360" behindDoc="0" locked="0" layoutInCell="1" allowOverlap="1">
          <wp:simplePos x="0" y="0"/>
          <wp:positionH relativeFrom="column">
            <wp:posOffset>15875</wp:posOffset>
          </wp:positionH>
          <wp:positionV relativeFrom="paragraph">
            <wp:posOffset>-40640</wp:posOffset>
          </wp:positionV>
          <wp:extent cx="191135" cy="188595"/>
          <wp:effectExtent l="0" t="0" r="18415" b="1905"/>
          <wp:wrapNone/>
          <wp:docPr id="6" name="图片 6" descr="微信截图_202503041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304170621"/>
                  <pic:cNvPicPr>
                    <a:picLocks noChangeAspect="1"/>
                  </pic:cNvPicPr>
                </pic:nvPicPr>
                <pic:blipFill>
                  <a:blip r:embed="rId1"/>
                  <a:stretch>
                    <a:fillRect/>
                  </a:stretch>
                </pic:blipFill>
                <pic:spPr>
                  <a:xfrm>
                    <a:off x="0" y="0"/>
                    <a:ext cx="191135" cy="188595"/>
                  </a:xfrm>
                  <a:prstGeom prst="rect">
                    <a:avLst/>
                  </a:prstGeom>
                </pic:spPr>
              </pic:pic>
            </a:graphicData>
          </a:graphic>
        </wp:anchor>
      </w:drawing>
    </w:r>
    <w:r>
      <w:rPr>
        <w:rFonts w:hint="eastAsia" w:ascii="宋体" w:hAnsi="宋体" w:cs="宋体"/>
        <w:color w:val="auto"/>
        <w:sz w:val="18"/>
        <w:szCs w:val="18"/>
        <w:highlight w:val="none"/>
        <w:u w:val="single"/>
        <w:lang w:eastAsia="zh-CN"/>
      </w:rPr>
      <w:t>灵宝市“十五五”规划编制项目</w:t>
    </w:r>
    <w:r>
      <w:rPr>
        <w:rFonts w:hint="eastAsia" w:ascii="宋体" w:hAnsi="宋体" w:eastAsia="宋体" w:cs="宋体"/>
        <w:color w:val="auto"/>
        <w:sz w:val="18"/>
        <w:szCs w:val="18"/>
        <w:highlight w:val="none"/>
        <w:u w:val="single"/>
        <w:lang w:val="en-US" w:eastAsia="zh-CN"/>
      </w:rPr>
      <w:t xml:space="preserve">      </w:t>
    </w:r>
    <w:r>
      <w:rPr>
        <w:rFonts w:hint="eastAsia" w:ascii="宋体" w:hAnsi="宋体" w:cs="宋体"/>
        <w:color w:val="auto"/>
        <w:sz w:val="18"/>
        <w:szCs w:val="18"/>
        <w:highlight w:val="none"/>
        <w:u w:val="single"/>
        <w:lang w:val="en-US" w:eastAsia="zh-CN"/>
      </w:rPr>
      <w:t xml:space="preserve">                   </w:t>
    </w:r>
    <w:r>
      <w:rPr>
        <w:rFonts w:hint="eastAsia" w:ascii="宋体" w:hAnsi="宋体" w:eastAsia="宋体" w:cs="宋体"/>
        <w:color w:val="auto"/>
        <w:sz w:val="18"/>
        <w:szCs w:val="18"/>
        <w:highlight w:val="none"/>
        <w:u w:val="single"/>
        <w:lang w:val="en-US" w:eastAsia="zh-CN"/>
      </w:rPr>
      <w:t xml:space="preserve">                                    竞争性磋商文件</w:t>
    </w:r>
  </w:p>
  <w:p w14:paraId="4E2DAA20">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7BEBE"/>
    <w:multiLevelType w:val="singleLevel"/>
    <w:tmpl w:val="CAC7BEBE"/>
    <w:lvl w:ilvl="0" w:tentative="0">
      <w:start w:val="1"/>
      <w:numFmt w:val="decimal"/>
      <w:lvlText w:val="%1."/>
      <w:lvlJc w:val="left"/>
      <w:pPr>
        <w:tabs>
          <w:tab w:val="left" w:pos="312"/>
        </w:tabs>
      </w:pPr>
    </w:lvl>
  </w:abstractNum>
  <w:abstractNum w:abstractNumId="1">
    <w:nsid w:val="1C9305F5"/>
    <w:multiLevelType w:val="singleLevel"/>
    <w:tmpl w:val="1C9305F5"/>
    <w:lvl w:ilvl="0" w:tentative="0">
      <w:start w:val="1"/>
      <w:numFmt w:val="decimal"/>
      <w:suff w:val="nothing"/>
      <w:lvlText w:val="%1、"/>
      <w:lvlJc w:val="left"/>
    </w:lvl>
  </w:abstractNum>
  <w:abstractNum w:abstractNumId="2">
    <w:nsid w:val="2AE3019B"/>
    <w:multiLevelType w:val="multilevel"/>
    <w:tmpl w:val="2AE3019B"/>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VTtxOLWZ4ddOx/OH/QhstqjeOuA=" w:salt="CzCXkehAchwAz9bYHTey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2NlNTdkZjNkNTNlNTM1ZjY1YTIzMzE3MmQxMzMifQ=="/>
  </w:docVars>
  <w:rsids>
    <w:rsidRoot w:val="00000000"/>
    <w:rsid w:val="00B400F0"/>
    <w:rsid w:val="02647ECA"/>
    <w:rsid w:val="033B0E3E"/>
    <w:rsid w:val="03F74305"/>
    <w:rsid w:val="04C42EA2"/>
    <w:rsid w:val="078A6F73"/>
    <w:rsid w:val="07E32C45"/>
    <w:rsid w:val="08305804"/>
    <w:rsid w:val="087B3C77"/>
    <w:rsid w:val="096B4234"/>
    <w:rsid w:val="0AB86182"/>
    <w:rsid w:val="0AB94B2B"/>
    <w:rsid w:val="0C0B13B7"/>
    <w:rsid w:val="0E146C48"/>
    <w:rsid w:val="0F654C0B"/>
    <w:rsid w:val="0FAC0AC3"/>
    <w:rsid w:val="10191F0F"/>
    <w:rsid w:val="1134674A"/>
    <w:rsid w:val="11A205E0"/>
    <w:rsid w:val="11CE7AC1"/>
    <w:rsid w:val="143D372B"/>
    <w:rsid w:val="186D44BD"/>
    <w:rsid w:val="1A6349DC"/>
    <w:rsid w:val="1D7952B8"/>
    <w:rsid w:val="203B258C"/>
    <w:rsid w:val="219B76DB"/>
    <w:rsid w:val="23DC6DE7"/>
    <w:rsid w:val="262319BC"/>
    <w:rsid w:val="267D7B8F"/>
    <w:rsid w:val="273D02D0"/>
    <w:rsid w:val="290E1818"/>
    <w:rsid w:val="29E15E23"/>
    <w:rsid w:val="2A355152"/>
    <w:rsid w:val="2C097269"/>
    <w:rsid w:val="2C7818B8"/>
    <w:rsid w:val="2DE24C81"/>
    <w:rsid w:val="3148438F"/>
    <w:rsid w:val="32EC6376"/>
    <w:rsid w:val="33E53DDB"/>
    <w:rsid w:val="351C13A0"/>
    <w:rsid w:val="369B50B7"/>
    <w:rsid w:val="37036D5A"/>
    <w:rsid w:val="3B296720"/>
    <w:rsid w:val="3C162E39"/>
    <w:rsid w:val="3FA77B45"/>
    <w:rsid w:val="40AE4962"/>
    <w:rsid w:val="421E4317"/>
    <w:rsid w:val="423A12D3"/>
    <w:rsid w:val="45181B39"/>
    <w:rsid w:val="47830729"/>
    <w:rsid w:val="48194880"/>
    <w:rsid w:val="4AEF32D7"/>
    <w:rsid w:val="4D4335AB"/>
    <w:rsid w:val="4D502E06"/>
    <w:rsid w:val="4D8602C2"/>
    <w:rsid w:val="4DF220C9"/>
    <w:rsid w:val="4E933360"/>
    <w:rsid w:val="502A7C11"/>
    <w:rsid w:val="5217237A"/>
    <w:rsid w:val="52374A57"/>
    <w:rsid w:val="55CE155A"/>
    <w:rsid w:val="56F764C1"/>
    <w:rsid w:val="5DAE579A"/>
    <w:rsid w:val="5DF01419"/>
    <w:rsid w:val="5E37588E"/>
    <w:rsid w:val="60474A68"/>
    <w:rsid w:val="609A61C5"/>
    <w:rsid w:val="609D6221"/>
    <w:rsid w:val="627B5AC3"/>
    <w:rsid w:val="62B5267B"/>
    <w:rsid w:val="63097573"/>
    <w:rsid w:val="65416C31"/>
    <w:rsid w:val="67C80E4D"/>
    <w:rsid w:val="683155B5"/>
    <w:rsid w:val="68703D1F"/>
    <w:rsid w:val="692D25C0"/>
    <w:rsid w:val="69E33BDE"/>
    <w:rsid w:val="6AFC6593"/>
    <w:rsid w:val="6BB5563C"/>
    <w:rsid w:val="6C9A123C"/>
    <w:rsid w:val="6D512242"/>
    <w:rsid w:val="6D612FDB"/>
    <w:rsid w:val="6FC77C6A"/>
    <w:rsid w:val="70C67F08"/>
    <w:rsid w:val="732848D4"/>
    <w:rsid w:val="73B54BAD"/>
    <w:rsid w:val="73F15EF3"/>
    <w:rsid w:val="74192D2C"/>
    <w:rsid w:val="745C62BA"/>
    <w:rsid w:val="77C06618"/>
    <w:rsid w:val="78590201"/>
    <w:rsid w:val="79775971"/>
    <w:rsid w:val="79AE0EAA"/>
    <w:rsid w:val="7AFC7AA9"/>
    <w:rsid w:val="7B9854E0"/>
    <w:rsid w:val="7C8A4953"/>
    <w:rsid w:val="7DC0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line="240" w:lineRule="atLeast"/>
      <w:ind w:left="851" w:hanging="284"/>
      <w:outlineLvl w:val="1"/>
    </w:pPr>
    <w:rPr>
      <w:rFonts w:ascii="黑体" w:hAnsi="Arial" w:eastAsia="黑体"/>
      <w:kern w:val="0"/>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next w:val="6"/>
    <w:qFormat/>
    <w:uiPriority w:val="99"/>
    <w:pPr>
      <w:snapToGrid w:val="0"/>
      <w:spacing w:line="360" w:lineRule="auto"/>
    </w:pPr>
    <w:rPr>
      <w:kern w:val="0"/>
      <w:sz w:val="24"/>
      <w:szCs w:val="24"/>
    </w:rPr>
  </w:style>
  <w:style w:type="paragraph" w:styleId="6">
    <w:name w:val="Body Text 2"/>
    <w:basedOn w:val="1"/>
    <w:next w:val="7"/>
    <w:qFormat/>
    <w:uiPriority w:val="99"/>
    <w:pPr>
      <w:widowControl/>
      <w:spacing w:before="100" w:beforeAutospacing="1" w:after="100" w:afterAutospacing="1"/>
      <w:jc w:val="left"/>
    </w:pPr>
    <w:rPr>
      <w:rFonts w:ascii="宋体" w:hAnsi="宋体"/>
      <w:kern w:val="0"/>
      <w:sz w:val="24"/>
      <w:szCs w:val="24"/>
    </w:rPr>
  </w:style>
  <w:style w:type="paragraph" w:styleId="7">
    <w:name w:val="Plain Text"/>
    <w:basedOn w:val="1"/>
    <w:qFormat/>
    <w:uiPriority w:val="0"/>
    <w:rPr>
      <w:rFonts w:ascii="宋体" w:hAnsi="Courier New" w:eastAsia="华文宋体"/>
      <w:kern w:val="0"/>
      <w:sz w:val="28"/>
      <w:szCs w:val="28"/>
    </w:rPr>
  </w:style>
  <w:style w:type="paragraph" w:styleId="8">
    <w:name w:val="Body Text Indent"/>
    <w:basedOn w:val="1"/>
    <w:next w:val="9"/>
    <w:qFormat/>
    <w:uiPriority w:val="0"/>
    <w:pPr>
      <w:ind w:firstLine="645"/>
    </w:pPr>
    <w:rPr>
      <w:rFonts w:ascii="宋体" w:hAnsi="宋体"/>
      <w:kern w:val="0"/>
      <w:sz w:val="32"/>
      <w:szCs w:val="32"/>
    </w:rPr>
  </w:style>
  <w:style w:type="paragraph" w:customStyle="1" w:styleId="9">
    <w:name w:val="Blockquote"/>
    <w:basedOn w:val="1"/>
    <w:next w:val="1"/>
    <w:qFormat/>
    <w:uiPriority w:val="99"/>
    <w:pPr>
      <w:widowControl w:val="0"/>
      <w:autoSpaceDE w:val="0"/>
      <w:autoSpaceDN w:val="0"/>
      <w:adjustRightInd w:val="0"/>
      <w:spacing w:before="100" w:after="100" w:line="240" w:lineRule="auto"/>
      <w:ind w:left="360" w:right="360"/>
    </w:pPr>
    <w:rPr>
      <w:color w:val="auto"/>
      <w:sz w:val="24"/>
    </w:rPr>
  </w:style>
  <w:style w:type="paragraph" w:styleId="10">
    <w:name w:val="Block Text"/>
    <w:basedOn w:val="1"/>
    <w:qFormat/>
    <w:uiPriority w:val="0"/>
    <w:pPr>
      <w:spacing w:line="480" w:lineRule="exact"/>
      <w:ind w:left="100" w:right="111" w:firstLine="556" w:firstLineChars="0"/>
    </w:pPr>
    <w:rPr>
      <w:sz w:val="28"/>
      <w:szCs w:val="20"/>
    </w:rPr>
  </w:style>
  <w:style w:type="paragraph" w:styleId="11">
    <w:name w:val="Body Text Indent 2"/>
    <w:basedOn w:val="1"/>
    <w:qFormat/>
    <w:uiPriority w:val="0"/>
    <w:pPr>
      <w:ind w:firstLine="630"/>
    </w:pPr>
    <w:rPr>
      <w:rFonts w:ascii="宋体" w:hAnsi="宋体"/>
      <w:kern w:val="0"/>
      <w:sz w:val="32"/>
      <w:szCs w:val="32"/>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Body Text First Indent"/>
    <w:basedOn w:val="5"/>
    <w:next w:val="18"/>
    <w:unhideWhenUsed/>
    <w:qFormat/>
    <w:uiPriority w:val="99"/>
    <w:pPr>
      <w:spacing w:after="120"/>
      <w:ind w:firstLine="420" w:firstLineChars="100"/>
    </w:pPr>
    <w:rPr>
      <w:sz w:val="22"/>
      <w:szCs w:val="22"/>
    </w:rPr>
  </w:style>
  <w:style w:type="paragraph" w:styleId="18">
    <w:name w:val="Body Text First Indent 2"/>
    <w:basedOn w:val="8"/>
    <w:next w:val="3"/>
    <w:qFormat/>
    <w:uiPriority w:val="0"/>
    <w:pPr>
      <w:ind w:firstLine="420" w:firstLineChars="200"/>
    </w:pPr>
  </w:style>
  <w:style w:type="character" w:styleId="21">
    <w:name w:val="FollowedHyperlink"/>
    <w:basedOn w:val="20"/>
    <w:qFormat/>
    <w:uiPriority w:val="0"/>
    <w:rPr>
      <w:color w:val="800080"/>
      <w:u w:val="none"/>
    </w:rPr>
  </w:style>
  <w:style w:type="character" w:styleId="22">
    <w:name w:val="HTML Definition"/>
    <w:basedOn w:val="20"/>
    <w:qFormat/>
    <w:uiPriority w:val="0"/>
  </w:style>
  <w:style w:type="character" w:styleId="23">
    <w:name w:val="HTML Typewriter"/>
    <w:basedOn w:val="20"/>
    <w:qFormat/>
    <w:uiPriority w:val="0"/>
    <w:rPr>
      <w:rFonts w:hint="default" w:ascii="monospace" w:hAnsi="monospace" w:eastAsia="monospace" w:cs="monospace"/>
      <w:sz w:val="20"/>
    </w:rPr>
  </w:style>
  <w:style w:type="character" w:styleId="24">
    <w:name w:val="HTML Acronym"/>
    <w:basedOn w:val="20"/>
    <w:qFormat/>
    <w:uiPriority w:val="0"/>
  </w:style>
  <w:style w:type="character" w:styleId="25">
    <w:name w:val="HTML Variable"/>
    <w:basedOn w:val="20"/>
    <w:qFormat/>
    <w:uiPriority w:val="0"/>
  </w:style>
  <w:style w:type="character" w:styleId="26">
    <w:name w:val="Hyperlink"/>
    <w:qFormat/>
    <w:uiPriority w:val="99"/>
    <w:rPr>
      <w:color w:val="666666"/>
      <w:u w:val="none"/>
    </w:rPr>
  </w:style>
  <w:style w:type="character" w:styleId="27">
    <w:name w:val="HTML Code"/>
    <w:basedOn w:val="20"/>
    <w:qFormat/>
    <w:uiPriority w:val="0"/>
    <w:rPr>
      <w:rFonts w:ascii="monospace" w:hAnsi="monospace" w:eastAsia="monospace" w:cs="monospace"/>
      <w:sz w:val="20"/>
    </w:rPr>
  </w:style>
  <w:style w:type="character" w:styleId="28">
    <w:name w:val="HTML Cite"/>
    <w:basedOn w:val="20"/>
    <w:qFormat/>
    <w:uiPriority w:val="0"/>
  </w:style>
  <w:style w:type="character" w:styleId="29">
    <w:name w:val="HTML Keyboard"/>
    <w:basedOn w:val="20"/>
    <w:qFormat/>
    <w:uiPriority w:val="0"/>
    <w:rPr>
      <w:rFonts w:hint="default" w:ascii="monospace" w:hAnsi="monospace" w:eastAsia="monospace" w:cs="monospace"/>
      <w:sz w:val="20"/>
    </w:rPr>
  </w:style>
  <w:style w:type="character" w:styleId="30">
    <w:name w:val="HTML Sample"/>
    <w:basedOn w:val="20"/>
    <w:qFormat/>
    <w:uiPriority w:val="0"/>
    <w:rPr>
      <w:rFonts w:hint="default" w:ascii="monospace" w:hAnsi="monospace" w:eastAsia="monospace" w:cs="monospace"/>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Body Text Indent 3"/>
    <w:basedOn w:val="1"/>
    <w:qFormat/>
    <w:uiPriority w:val="0"/>
    <w:pPr>
      <w:tabs>
        <w:tab w:val="left" w:pos="0"/>
      </w:tabs>
      <w:ind w:firstLine="538" w:firstLineChars="192"/>
    </w:pPr>
    <w:rPr>
      <w:rFonts w:ascii="宋体" w:hAnsi="宋体"/>
      <w:sz w:val="28"/>
    </w:rPr>
  </w:style>
  <w:style w:type="character" w:customStyle="1" w:styleId="33">
    <w:name w:val="NormalCharacter"/>
    <w:qFormat/>
    <w:uiPriority w:val="0"/>
    <w:rPr>
      <w:rFonts w:ascii="Times New Roman" w:hAnsi="Times New Roman" w:eastAsia="宋体"/>
    </w:rPr>
  </w:style>
  <w:style w:type="paragraph" w:customStyle="1" w:styleId="34">
    <w:name w:val="Table Paragraph"/>
    <w:basedOn w:val="1"/>
    <w:qFormat/>
    <w:uiPriority w:val="1"/>
    <w:rPr>
      <w:rFonts w:ascii="宋体" w:hAnsi="宋体" w:eastAsia="宋体" w:cs="宋体"/>
      <w:lang w:val="zh-CN" w:eastAsia="zh-CN" w:bidi="zh-CN"/>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6">
    <w:name w:val="layui-layer-tabnow"/>
    <w:basedOn w:val="20"/>
    <w:qFormat/>
    <w:uiPriority w:val="0"/>
    <w:rPr>
      <w:bdr w:val="single" w:color="CCCCCC" w:sz="6" w:space="0"/>
      <w:shd w:val="clear" w:fill="FFFFFF"/>
    </w:rPr>
  </w:style>
  <w:style w:type="character" w:customStyle="1" w:styleId="37">
    <w:name w:val="first-child"/>
    <w:basedOn w:val="20"/>
    <w:qFormat/>
    <w:uiPriority w:val="0"/>
  </w:style>
  <w:style w:type="paragraph" w:customStyle="1" w:styleId="38">
    <w:name w:val="段"/>
    <w:basedOn w:val="1"/>
    <w:next w:val="1"/>
    <w:qFormat/>
    <w:uiPriority w:val="0"/>
    <w:pPr>
      <w:keepNext w:val="0"/>
      <w:keepLines w:val="0"/>
      <w:widowControl/>
      <w:suppressLineNumbers w:val="0"/>
      <w:autoSpaceDE w:val="0"/>
      <w:autoSpaceDN w:val="0"/>
      <w:adjustRightInd w:val="0"/>
      <w:snapToGrid w:val="0"/>
      <w:spacing w:before="0" w:beforeAutospacing="0" w:after="0" w:afterAutospacing="0" w:line="360" w:lineRule="auto"/>
      <w:ind w:left="0" w:right="0" w:firstLine="200" w:firstLineChars="200"/>
      <w:jc w:val="both"/>
    </w:pPr>
    <w:rPr>
      <w:rFonts w:hint="eastAsia" w:ascii="宋体" w:hAnsi="Calibri" w:eastAsia="宋体" w:cs="Times New Roman"/>
      <w:kern w:val="0"/>
      <w:sz w:val="24"/>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22255</Words>
  <Characters>23993</Characters>
  <Lines>0</Lines>
  <Paragraphs>0</Paragraphs>
  <TotalTime>10</TotalTime>
  <ScaleCrop>false</ScaleCrop>
  <LinksUpToDate>false</LinksUpToDate>
  <CharactersWithSpaces>24866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2024-06-25T07:22:00Z</dcterms:created>
  <dc:creator>Administrator</dc:creator>
  <cp:lastModifiedBy>淤悄粗嚼俚</cp:lastModifiedBy>
  <dcterms:modified xsi:type="dcterms:W3CDTF">2025-04-30T10:00:11Z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F6131BA962BE433F9659887C6A4CEAE1_13</vt:lpwstr>
  </property>
  <property fmtid="{D5CDD505-2E9C-101B-9397-08002B2CF9AE}" pid="4" name="KSOTemplateDocerSaveRecord">
    <vt:lpwstr>eyJoZGlkIjoiNDQ1OTUwMDNmM2M2YTQ3MmQxODUyZWU1MjNkNDFhY2EiLCJ1c2VySWQiOiIxNjk0NjMwNzc2In0=</vt:lpwstr>
  </property>
</Properties>
</file>