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75E5A">
      <w:pPr>
        <w:wordWrap w:val="0"/>
        <w:spacing w:line="360" w:lineRule="auto"/>
        <w:jc w:val="center"/>
        <w:rPr>
          <w:rFonts w:ascii="宋体" w:hAnsi="宋体"/>
          <w:b/>
          <w:bCs/>
          <w:szCs w:val="21"/>
        </w:rPr>
      </w:pPr>
    </w:p>
    <w:p w14:paraId="3B712CA7">
      <w:pPr>
        <w:wordWrap w:val="0"/>
        <w:spacing w:line="360" w:lineRule="auto"/>
        <w:jc w:val="center"/>
        <w:rPr>
          <w:rFonts w:ascii="宋体" w:hAnsi="宋体"/>
          <w:b/>
          <w:bCs/>
          <w:szCs w:val="21"/>
        </w:rPr>
      </w:pPr>
    </w:p>
    <w:p w14:paraId="6800B707">
      <w:pPr>
        <w:wordWrap w:val="0"/>
        <w:spacing w:line="360" w:lineRule="auto"/>
        <w:jc w:val="center"/>
        <w:rPr>
          <w:sz w:val="44"/>
          <w:szCs w:val="44"/>
        </w:rPr>
      </w:pPr>
      <w:r>
        <w:rPr>
          <w:rFonts w:hint="eastAsia" w:ascii="宋体" w:hAnsi="宋体"/>
          <w:b/>
          <w:bCs/>
          <w:sz w:val="44"/>
          <w:szCs w:val="44"/>
        </w:rPr>
        <w:t>河南省中医院（河南中医药大学第二附属医院）劳务派遣服务采购项目</w:t>
      </w:r>
    </w:p>
    <w:p w14:paraId="5CD1326D">
      <w:pPr>
        <w:wordWrap w:val="0"/>
        <w:spacing w:line="360" w:lineRule="auto"/>
        <w:jc w:val="center"/>
        <w:rPr>
          <w:rFonts w:ascii="宋体" w:hAnsi="宋体"/>
          <w:b/>
          <w:sz w:val="44"/>
          <w:szCs w:val="44"/>
        </w:rPr>
      </w:pPr>
    </w:p>
    <w:p w14:paraId="1C83EF4F">
      <w:pPr>
        <w:wordWrap w:val="0"/>
        <w:spacing w:line="360" w:lineRule="auto"/>
        <w:jc w:val="center"/>
        <w:rPr>
          <w:rFonts w:ascii="宋体" w:hAnsi="宋体"/>
          <w:b/>
          <w:sz w:val="84"/>
          <w:szCs w:val="84"/>
        </w:rPr>
      </w:pPr>
      <w:r>
        <w:rPr>
          <w:rFonts w:hint="eastAsia" w:ascii="宋体" w:hAnsi="宋体"/>
          <w:b/>
          <w:sz w:val="84"/>
          <w:szCs w:val="84"/>
        </w:rPr>
        <w:t>招 标 文 件</w:t>
      </w:r>
    </w:p>
    <w:p w14:paraId="3F85DF0A">
      <w:pPr>
        <w:wordWrap w:val="0"/>
        <w:spacing w:line="360" w:lineRule="auto"/>
        <w:jc w:val="center"/>
        <w:rPr>
          <w:rFonts w:hint="eastAsia" w:ascii="宋体" w:hAnsi="宋体" w:eastAsia="宋体"/>
          <w:szCs w:val="21"/>
          <w:lang w:eastAsia="zh-CN"/>
        </w:rPr>
      </w:pPr>
      <w:r>
        <w:rPr>
          <w:rFonts w:hint="eastAsia" w:ascii="宋体" w:hAnsi="宋体"/>
          <w:b/>
          <w:sz w:val="28"/>
          <w:szCs w:val="28"/>
        </w:rPr>
        <w:t>项目编号：</w:t>
      </w:r>
      <w:r>
        <w:rPr>
          <w:rFonts w:hint="eastAsia" w:ascii="宋体" w:hAnsi="宋体"/>
          <w:b/>
          <w:sz w:val="28"/>
          <w:szCs w:val="28"/>
          <w:lang w:eastAsia="zh-CN"/>
        </w:rPr>
        <w:t>豫财招标采购-2025-418</w:t>
      </w:r>
    </w:p>
    <w:p w14:paraId="30494D40">
      <w:pPr>
        <w:pStyle w:val="30"/>
      </w:pPr>
    </w:p>
    <w:p w14:paraId="44EEF198">
      <w:pPr>
        <w:wordWrap w:val="0"/>
        <w:spacing w:line="360" w:lineRule="auto"/>
        <w:jc w:val="center"/>
        <w:rPr>
          <w:rFonts w:ascii="宋体" w:hAnsi="宋体"/>
          <w:szCs w:val="21"/>
        </w:rPr>
      </w:pPr>
    </w:p>
    <w:p w14:paraId="68AD3704">
      <w:pPr>
        <w:wordWrap w:val="0"/>
        <w:spacing w:line="360" w:lineRule="auto"/>
        <w:jc w:val="center"/>
        <w:rPr>
          <w:rFonts w:ascii="宋体" w:hAnsi="宋体"/>
          <w:szCs w:val="21"/>
        </w:rPr>
      </w:pPr>
      <w:r>
        <w:rPr>
          <w:rStyle w:val="222"/>
          <w:rFonts w:hint="eastAsia" w:asciiTheme="minorEastAsia" w:hAnsiTheme="minorEastAsia" w:eastAsiaTheme="minorEastAsia" w:cstheme="minorEastAsia"/>
        </w:rPr>
        <w:drawing>
          <wp:inline distT="0" distB="0" distL="114300" distR="114300">
            <wp:extent cx="2171700" cy="2733675"/>
            <wp:effectExtent l="0" t="0" r="7620" b="9525"/>
            <wp:docPr id="7" name="图片 7" descr="微信图片_2021102109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021094822"/>
                    <pic:cNvPicPr>
                      <a:picLocks noChangeAspect="1"/>
                    </pic:cNvPicPr>
                  </pic:nvPicPr>
                  <pic:blipFill>
                    <a:blip r:embed="rId9" cstate="print"/>
                    <a:stretch>
                      <a:fillRect/>
                    </a:stretch>
                  </pic:blipFill>
                  <pic:spPr>
                    <a:xfrm>
                      <a:off x="0" y="0"/>
                      <a:ext cx="2171700" cy="2733675"/>
                    </a:xfrm>
                    <a:prstGeom prst="rect">
                      <a:avLst/>
                    </a:prstGeom>
                  </pic:spPr>
                </pic:pic>
              </a:graphicData>
            </a:graphic>
          </wp:inline>
        </w:drawing>
      </w:r>
    </w:p>
    <w:p w14:paraId="71163AD7">
      <w:pPr>
        <w:wordWrap w:val="0"/>
        <w:spacing w:line="360" w:lineRule="auto"/>
        <w:jc w:val="center"/>
        <w:rPr>
          <w:rFonts w:ascii="宋体" w:hAnsi="宋体"/>
          <w:szCs w:val="21"/>
        </w:rPr>
      </w:pPr>
    </w:p>
    <w:p w14:paraId="7AC5B064">
      <w:pPr>
        <w:wordWrap w:val="0"/>
        <w:spacing w:line="360" w:lineRule="auto"/>
        <w:jc w:val="center"/>
        <w:rPr>
          <w:rFonts w:ascii="宋体" w:hAnsi="宋体"/>
          <w:szCs w:val="21"/>
        </w:rPr>
      </w:pPr>
    </w:p>
    <w:p w14:paraId="561D5B46">
      <w:pPr>
        <w:wordWrap w:val="0"/>
        <w:spacing w:line="360" w:lineRule="auto"/>
        <w:jc w:val="center"/>
        <w:rPr>
          <w:rFonts w:ascii="宋体" w:hAnsi="宋体"/>
          <w:szCs w:val="21"/>
        </w:rPr>
      </w:pPr>
    </w:p>
    <w:p w14:paraId="0C6F2757">
      <w:pPr>
        <w:wordWrap w:val="0"/>
        <w:spacing w:line="360" w:lineRule="auto"/>
        <w:ind w:firstLine="843" w:firstLineChars="300"/>
        <w:rPr>
          <w:rFonts w:ascii="宋体" w:hAnsi="宋体"/>
          <w:b/>
          <w:sz w:val="28"/>
          <w:szCs w:val="28"/>
        </w:rPr>
      </w:pPr>
      <w:r>
        <w:rPr>
          <w:rFonts w:hint="eastAsia" w:ascii="宋体" w:hAnsi="宋体"/>
          <w:b/>
          <w:sz w:val="28"/>
          <w:szCs w:val="28"/>
        </w:rPr>
        <w:t>采   购   人：河南省中医院（河南中医药大学第二附属医院）</w:t>
      </w:r>
    </w:p>
    <w:p w14:paraId="017C647B">
      <w:pPr>
        <w:wordWrap w:val="0"/>
        <w:spacing w:line="360" w:lineRule="auto"/>
        <w:ind w:firstLine="843" w:firstLineChars="300"/>
        <w:rPr>
          <w:rFonts w:ascii="宋体" w:hAnsi="宋体"/>
          <w:b/>
          <w:sz w:val="28"/>
          <w:szCs w:val="28"/>
        </w:rPr>
      </w:pPr>
      <w:r>
        <w:rPr>
          <w:rFonts w:hint="eastAsia" w:ascii="宋体" w:hAnsi="宋体"/>
          <w:b/>
          <w:sz w:val="28"/>
          <w:szCs w:val="28"/>
        </w:rPr>
        <w:t>采购代理机构：中建山河建设管理集团有限公司</w:t>
      </w:r>
    </w:p>
    <w:p w14:paraId="380ECC06">
      <w:pPr>
        <w:wordWrap w:val="0"/>
        <w:spacing w:line="360" w:lineRule="auto"/>
        <w:ind w:firstLine="843" w:firstLineChars="300"/>
        <w:rPr>
          <w:rFonts w:ascii="宋体" w:hAnsi="宋体"/>
          <w:b/>
          <w:sz w:val="28"/>
          <w:szCs w:val="28"/>
        </w:rPr>
      </w:pPr>
      <w:r>
        <w:rPr>
          <w:rFonts w:hint="eastAsia" w:ascii="宋体" w:hAnsi="宋体"/>
          <w:b/>
          <w:sz w:val="28"/>
          <w:szCs w:val="28"/>
        </w:rPr>
        <w:t>日         期：二〇二五年</w:t>
      </w:r>
      <w:r>
        <w:rPr>
          <w:rFonts w:hint="eastAsia" w:ascii="宋体" w:hAnsi="宋体"/>
          <w:b/>
          <w:sz w:val="28"/>
          <w:szCs w:val="28"/>
          <w:lang w:eastAsia="zh-CN"/>
        </w:rPr>
        <w:t>五</w:t>
      </w:r>
      <w:r>
        <w:rPr>
          <w:rFonts w:hint="eastAsia" w:ascii="宋体" w:hAnsi="宋体"/>
          <w:b/>
          <w:sz w:val="28"/>
          <w:szCs w:val="28"/>
        </w:rPr>
        <w:t>月</w:t>
      </w:r>
    </w:p>
    <w:p w14:paraId="1B24D989">
      <w:pPr>
        <w:wordWrap w:val="0"/>
        <w:spacing w:line="360" w:lineRule="auto"/>
        <w:ind w:firstLine="1807" w:firstLineChars="750"/>
        <w:rPr>
          <w:rFonts w:ascii="宋体" w:hAnsi="宋体"/>
          <w:b/>
          <w:sz w:val="24"/>
        </w:rPr>
      </w:pPr>
    </w:p>
    <w:p w14:paraId="11F9B356">
      <w:pPr>
        <w:wordWrap w:val="0"/>
        <w:spacing w:before="100" w:beforeAutospacing="1" w:after="100" w:afterAutospacing="1" w:line="360" w:lineRule="auto"/>
        <w:rPr>
          <w:rFonts w:ascii="宋体" w:hAnsi="宋体"/>
          <w:szCs w:val="21"/>
        </w:rPr>
        <w:sectPr>
          <w:headerReference r:id="rId3" w:type="first"/>
          <w:footerReference r:id="rId4" w:type="default"/>
          <w:pgSz w:w="11905" w:h="16838"/>
          <w:pgMar w:top="1417" w:right="1417" w:bottom="1417" w:left="1474" w:header="680" w:footer="680" w:gutter="0"/>
          <w:pgNumType w:fmt="numberInDash"/>
          <w:cols w:space="0" w:num="1"/>
          <w:docGrid w:linePitch="312" w:charSpace="0"/>
        </w:sectPr>
      </w:pPr>
    </w:p>
    <w:p w14:paraId="059A4004">
      <w:pPr>
        <w:spacing w:line="400" w:lineRule="exact"/>
        <w:jc w:val="center"/>
        <w:rPr>
          <w:rFonts w:cs="仿宋" w:asciiTheme="minorEastAsia" w:hAnsiTheme="minorEastAsia" w:eastAsiaTheme="minorEastAsia"/>
          <w:b/>
          <w:sz w:val="36"/>
          <w:szCs w:val="36"/>
        </w:rPr>
      </w:pPr>
      <w:bookmarkStart w:id="0" w:name="_Toc22953398"/>
      <w:bookmarkEnd w:id="0"/>
      <w:bookmarkStart w:id="1" w:name="_第一章__公开招标公告"/>
      <w:bookmarkEnd w:id="1"/>
      <w:bookmarkStart w:id="2" w:name="_Toc22804073"/>
      <w:bookmarkEnd w:id="2"/>
      <w:bookmarkStart w:id="3" w:name="_Toc22568789"/>
      <w:bookmarkEnd w:id="3"/>
      <w:bookmarkStart w:id="4" w:name="_Toc22953395"/>
      <w:bookmarkEnd w:id="4"/>
      <w:bookmarkStart w:id="5" w:name="_Toc14532"/>
      <w:bookmarkStart w:id="6" w:name="_Toc17395"/>
      <w:bookmarkStart w:id="7" w:name="_Toc174"/>
      <w:r>
        <w:rPr>
          <w:rFonts w:hint="eastAsia" w:cs="仿宋" w:asciiTheme="minorEastAsia" w:hAnsiTheme="minorEastAsia" w:eastAsiaTheme="minorEastAsia"/>
          <w:b/>
          <w:sz w:val="36"/>
          <w:szCs w:val="36"/>
        </w:rPr>
        <w:t>特别提示</w:t>
      </w:r>
      <w:bookmarkEnd w:id="5"/>
      <w:bookmarkEnd w:id="6"/>
      <w:bookmarkEnd w:id="7"/>
    </w:p>
    <w:p w14:paraId="7CF60F8E">
      <w:pPr>
        <w:pStyle w:val="25"/>
        <w:spacing w:line="360" w:lineRule="exact"/>
        <w:rPr>
          <w:rFonts w:hAnsi="宋体" w:cs="宋体"/>
          <w:b/>
          <w:bCs/>
          <w:sz w:val="24"/>
          <w:szCs w:val="24"/>
        </w:rPr>
      </w:pPr>
    </w:p>
    <w:p w14:paraId="43507DCE">
      <w:pPr>
        <w:snapToGrid w:val="0"/>
        <w:spacing w:line="360" w:lineRule="auto"/>
        <w:ind w:firstLine="422" w:firstLineChars="200"/>
        <w:rPr>
          <w:rFonts w:ascii="宋体" w:hAnsi="宋体" w:cs="宋体"/>
          <w:b/>
          <w:szCs w:val="21"/>
        </w:rPr>
      </w:pPr>
      <w:r>
        <w:rPr>
          <w:rFonts w:hint="eastAsia" w:ascii="宋体" w:hAnsi="宋体" w:cs="宋体"/>
          <w:b/>
          <w:szCs w:val="21"/>
        </w:rPr>
        <w:t>1、供应商或投标人注册</w:t>
      </w:r>
    </w:p>
    <w:p w14:paraId="13F5B3B9">
      <w:pPr>
        <w:snapToGrid w:val="0"/>
        <w:spacing w:line="360" w:lineRule="auto"/>
        <w:ind w:firstLine="420" w:firstLineChars="200"/>
        <w:rPr>
          <w:rFonts w:ascii="宋体" w:hAnsi="宋体" w:cs="宋体"/>
          <w:szCs w:val="21"/>
        </w:rPr>
      </w:pPr>
      <w:r>
        <w:rPr>
          <w:rFonts w:hint="eastAsia" w:ascii="宋体" w:hAnsi="宋体" w:cs="宋体"/>
          <w:szCs w:val="21"/>
        </w:rPr>
        <w:t>供应商或投标人首先通过“河南省公共资源交易中心（</w:t>
      </w:r>
      <w:r>
        <w:fldChar w:fldCharType="begin"/>
      </w:r>
      <w:r>
        <w:instrText xml:space="preserve"> HYPERLINK "http://www.hnggzy.com）" </w:instrText>
      </w:r>
      <w:r>
        <w:fldChar w:fldCharType="separate"/>
      </w:r>
      <w:r>
        <w:rPr>
          <w:rFonts w:hint="eastAsia" w:ascii="宋体" w:hAnsi="宋体" w:cs="宋体"/>
          <w:szCs w:val="21"/>
        </w:rPr>
        <w:t>http://hnsggzyjy.henan.gov.cn/）”网站进行</w:t>
      </w:r>
      <w:r>
        <w:rPr>
          <w:rFonts w:hint="eastAsia" w:ascii="宋体" w:hAnsi="宋体" w:cs="宋体"/>
          <w:szCs w:val="21"/>
        </w:rPr>
        <w:fldChar w:fldCharType="end"/>
      </w:r>
      <w:r>
        <w:rPr>
          <w:rFonts w:hint="eastAsia" w:ascii="宋体" w:hAnsi="宋体" w:cs="宋体"/>
          <w:szCs w:val="21"/>
        </w:rPr>
        <w:t>注册，然后按网站公共服务（办事指南及下载专区）公共资源项目CA办理流程准备齐注册资料，最后到CA公司办理 CA密钥，完成注册。</w:t>
      </w:r>
    </w:p>
    <w:p w14:paraId="52E68C43">
      <w:pPr>
        <w:snapToGrid w:val="0"/>
        <w:spacing w:line="360" w:lineRule="auto"/>
        <w:ind w:firstLine="422" w:firstLineChars="200"/>
        <w:rPr>
          <w:rFonts w:ascii="宋体" w:hAnsi="宋体" w:cs="宋体"/>
          <w:b/>
          <w:szCs w:val="21"/>
        </w:rPr>
      </w:pPr>
      <w:r>
        <w:rPr>
          <w:rFonts w:hint="eastAsia" w:ascii="宋体" w:hAnsi="宋体" w:cs="宋体"/>
          <w:b/>
          <w:szCs w:val="21"/>
        </w:rPr>
        <w:t>2、招标文件获取、投标文件制作</w:t>
      </w:r>
    </w:p>
    <w:p w14:paraId="2C7EBFD5">
      <w:pPr>
        <w:snapToGrid w:val="0"/>
        <w:spacing w:line="360" w:lineRule="auto"/>
        <w:ind w:firstLine="432" w:firstLineChars="206"/>
        <w:rPr>
          <w:rFonts w:ascii="宋体" w:hAnsi="宋体" w:cs="宋体"/>
          <w:bCs/>
          <w:szCs w:val="21"/>
        </w:rPr>
      </w:pPr>
      <w:r>
        <w:rPr>
          <w:rFonts w:hint="eastAsia" w:ascii="宋体" w:hAnsi="宋体" w:cs="宋体"/>
          <w:bCs/>
          <w:szCs w:val="21"/>
        </w:rPr>
        <w:t>2.1、投标人通过河南省公共资源交易中心网站（http://hnsggzyjy.henan.gov.cn/）-公共服务-办事指南-新交易平台使用手册-河南省公共资源“智慧交易”平台投标/响应文件制作操作手册。</w:t>
      </w:r>
    </w:p>
    <w:p w14:paraId="6735D9FE">
      <w:pPr>
        <w:snapToGrid w:val="0"/>
        <w:spacing w:line="360" w:lineRule="auto"/>
        <w:ind w:firstLine="432" w:firstLineChars="206"/>
        <w:rPr>
          <w:rFonts w:ascii="宋体" w:hAnsi="宋体" w:cs="宋体"/>
          <w:bCs/>
          <w:szCs w:val="21"/>
        </w:rPr>
      </w:pPr>
      <w:r>
        <w:rPr>
          <w:rFonts w:hint="eastAsia" w:ascii="宋体" w:hAnsi="宋体" w:cs="宋体"/>
          <w:bCs/>
          <w:szCs w:val="21"/>
        </w:rPr>
        <w:t>2.2、投标人凭 CA 密钥登陆河南省公共资源交易中心并按网上提示自行下载每个项目所含格式(.hnzf)的招标文件。</w:t>
      </w:r>
    </w:p>
    <w:p w14:paraId="3BBFF27C">
      <w:pPr>
        <w:snapToGrid w:val="0"/>
        <w:spacing w:line="360" w:lineRule="auto"/>
        <w:ind w:firstLine="432" w:firstLineChars="206"/>
        <w:rPr>
          <w:rFonts w:ascii="宋体" w:hAnsi="宋体" w:cs="宋体"/>
          <w:bCs/>
          <w:szCs w:val="21"/>
        </w:rPr>
      </w:pPr>
      <w:r>
        <w:rPr>
          <w:rFonts w:hint="eastAsia" w:ascii="宋体" w:hAnsi="宋体" w:cs="宋体"/>
          <w:bCs/>
          <w:szCs w:val="21"/>
        </w:rPr>
        <w:t>2.3、投标人须在投标文件递交截止时间前制作并提交：加密的电子投标文件（*.hntf 格式）,应在投标文件截止时间前通过“河南省公共资源交易中心（http://hnsggzyjy.henan.gov.cn/）”电子交易平台内上传；</w:t>
      </w:r>
    </w:p>
    <w:p w14:paraId="5CA18714">
      <w:pPr>
        <w:snapToGrid w:val="0"/>
        <w:spacing w:line="360" w:lineRule="auto"/>
        <w:ind w:firstLine="432" w:firstLineChars="206"/>
        <w:rPr>
          <w:rFonts w:ascii="宋体" w:hAnsi="宋体" w:cs="宋体"/>
          <w:bCs/>
          <w:szCs w:val="21"/>
        </w:rPr>
      </w:pPr>
      <w:r>
        <w:rPr>
          <w:rFonts w:hint="eastAsia" w:ascii="宋体" w:hAnsi="宋体" w:cs="宋体"/>
          <w:bCs/>
          <w:szCs w:val="21"/>
        </w:rPr>
        <w:t>2.4、加密的电子投标文件为“河南省公共资源交易中心（http://hnsggzyjy.henan.gov.cn/）”网站提供的“投标文件制作工具”软件制作生成的加密版投标文件。</w:t>
      </w:r>
    </w:p>
    <w:p w14:paraId="5608865F">
      <w:pPr>
        <w:snapToGrid w:val="0"/>
        <w:spacing w:line="360" w:lineRule="auto"/>
        <w:ind w:firstLine="432" w:firstLineChars="206"/>
        <w:rPr>
          <w:rFonts w:ascii="宋体" w:hAnsi="宋体" w:cs="宋体"/>
          <w:bCs/>
          <w:szCs w:val="21"/>
        </w:rPr>
      </w:pPr>
      <w:r>
        <w:rPr>
          <w:rFonts w:hint="eastAsia" w:ascii="宋体" w:hAnsi="宋体" w:cs="宋体"/>
          <w:bCs/>
          <w:szCs w:val="21"/>
        </w:rPr>
        <w:t>2.5、投标人编辑电子投标文件时，除文件中特殊说明外，需要盖单位章的均指单位电子 CA 锁印章，个人签字或盖章的指个人的电子 CA 锁印章或签字扫描件或物理印章扫描件，最后一步生成电子投标文件（*.hntf 格式和*.nhntf 格式）时，只能用本单位的企业 CA密钥。</w:t>
      </w:r>
    </w:p>
    <w:p w14:paraId="301281BB">
      <w:pPr>
        <w:snapToGrid w:val="0"/>
        <w:spacing w:line="360" w:lineRule="auto"/>
        <w:ind w:firstLine="432" w:firstLineChars="206"/>
        <w:rPr>
          <w:rFonts w:ascii="宋体" w:hAnsi="宋体" w:cs="宋体"/>
          <w:bCs/>
          <w:szCs w:val="21"/>
        </w:rPr>
      </w:pPr>
      <w:r>
        <w:rPr>
          <w:rFonts w:hint="eastAsia" w:ascii="宋体" w:hAnsi="宋体" w:cs="宋体"/>
          <w:bCs/>
          <w:szCs w:val="21"/>
        </w:rPr>
        <w:t>2.6、本次采购项目采用远程不见面开标方式，请各投标人在招标文件确定的投标截止时间前，登录远程开标大厅，在线准时参加开标活动并在规定时间内进行投标文件解密，在规定时间内投标文件未解密的投标人，视为放弃投标。具体操作可登陆河南省公共资源交易中心“首页---公共服务---办事指南---新交易平台使用手册（培训资料）。</w:t>
      </w:r>
    </w:p>
    <w:p w14:paraId="17499173">
      <w:pPr>
        <w:snapToGrid w:val="0"/>
        <w:spacing w:line="360" w:lineRule="auto"/>
        <w:ind w:firstLine="434" w:firstLineChars="206"/>
        <w:rPr>
          <w:rFonts w:ascii="宋体" w:hAnsi="宋体" w:cs="宋体"/>
          <w:b/>
          <w:szCs w:val="21"/>
        </w:rPr>
      </w:pPr>
      <w:r>
        <w:rPr>
          <w:rFonts w:hint="eastAsia" w:ascii="宋体" w:hAnsi="宋体" w:cs="宋体"/>
          <w:b/>
          <w:szCs w:val="21"/>
        </w:rPr>
        <w:t>3、评标前的澄清与变更</w:t>
      </w:r>
    </w:p>
    <w:p w14:paraId="4410A3A4">
      <w:pPr>
        <w:snapToGrid w:val="0"/>
        <w:spacing w:line="360" w:lineRule="auto"/>
        <w:ind w:firstLine="432" w:firstLineChars="206"/>
        <w:rPr>
          <w:rFonts w:ascii="宋体" w:hAnsi="宋体" w:cs="宋体"/>
          <w:b/>
          <w:szCs w:val="21"/>
        </w:rPr>
      </w:pPr>
      <w:r>
        <w:rPr>
          <w:rFonts w:hint="eastAsia" w:ascii="宋体" w:hAnsi="宋体" w:cs="宋体"/>
          <w:szCs w:val="21"/>
        </w:rPr>
        <w:t>采购人、采购代理机构对已发出的招标文件进行的澄清、更正或更改，澄清、更正或更改的内容将作为招标文件的组成部分。采购代理机构将通过网站“变更公告”和系统内部“答疑文件”告知供应商或投标人，对于各项目中已经成功报名并下载招标文件的项目供应商或投标人，系统可能通过第三方短信群发方式提醒供应商或投标人进行查询。各供应商或投标人须重新下载最新的招标文件和答疑文件，以此编制投标文件。供应商或投标人注册时所留手机联系方式要保持畅通，因联系方式变更而未及时更新系统内联系方式的，将会造成收不到短信。此短信仅系友情提示，并不具有任何约束性和必要性，采购代理机构不承担供应商或投标人未收到短信而引起的一切后果和法律责任。</w:t>
      </w:r>
    </w:p>
    <w:p w14:paraId="5AE88E97">
      <w:pPr>
        <w:snapToGrid w:val="0"/>
        <w:spacing w:line="360" w:lineRule="auto"/>
        <w:ind w:firstLine="434" w:firstLineChars="206"/>
        <w:rPr>
          <w:rFonts w:ascii="宋体" w:hAnsi="宋体" w:cs="宋体"/>
          <w:b/>
          <w:szCs w:val="21"/>
        </w:rPr>
      </w:pPr>
      <w:r>
        <w:rPr>
          <w:rFonts w:hint="eastAsia" w:ascii="宋体" w:hAnsi="宋体" w:cs="宋体"/>
          <w:b/>
          <w:szCs w:val="21"/>
        </w:rPr>
        <w:t>4、评标过程的澄清</w:t>
      </w:r>
    </w:p>
    <w:p w14:paraId="7610447F">
      <w:pPr>
        <w:snapToGrid w:val="0"/>
        <w:spacing w:line="360" w:lineRule="auto"/>
        <w:ind w:firstLine="432" w:firstLineChars="206"/>
        <w:rPr>
          <w:rFonts w:ascii="宋体" w:hAnsi="宋体" w:cs="宋体"/>
          <w:szCs w:val="21"/>
        </w:rPr>
      </w:pPr>
      <w:r>
        <w:rPr>
          <w:rFonts w:hint="eastAsia" w:ascii="宋体" w:hAnsi="宋体" w:cs="宋体"/>
          <w:szCs w:val="21"/>
        </w:rPr>
        <w:t>评标委员会在评审的过程中已发出的的澄清作为评审过程的组成部分。供应商或投标人应当在评标结束前时刻关注系统内部发出的“答疑”，系统也可能通过第三方短信群发方式提醒供应商或投标人。供应商或投标人须在规定的时间内进行回复。供应商或投标人注册时所留手机联系方式要保持畅通，因联系方式变更而未及时更新系统内联系方式的，将会造成收不到短信。此短信仅系友情提示，并不具有任何约束性和必要性，采购代理机构和采购人不承担供应商或投标人未收到短信而引起的一切后果和法律责任。</w:t>
      </w:r>
    </w:p>
    <w:p w14:paraId="669B47A2">
      <w:pPr>
        <w:snapToGrid w:val="0"/>
        <w:spacing w:line="360" w:lineRule="auto"/>
        <w:ind w:firstLine="432" w:firstLineChars="206"/>
        <w:rPr>
          <w:rFonts w:ascii="宋体" w:hAnsi="宋体" w:cs="宋体"/>
          <w:szCs w:val="21"/>
        </w:rPr>
      </w:pPr>
      <w:r>
        <w:rPr>
          <w:rFonts w:hint="eastAsia" w:ascii="宋体" w:hAnsi="宋体" w:cs="宋体"/>
          <w:szCs w:val="21"/>
        </w:rPr>
        <w:t xml:space="preserve">5、因河南省公共资源交易中心平台在开标前具有保密性，投标人在投标文件递交截止时间前须自行查看项目进展、变更通知、澄清及回复，因投标人未及时查看而造成的后果自负。 </w:t>
      </w:r>
    </w:p>
    <w:p w14:paraId="79745E65">
      <w:pPr>
        <w:snapToGrid w:val="0"/>
        <w:spacing w:line="360" w:lineRule="auto"/>
        <w:ind w:firstLine="432" w:firstLineChars="206"/>
        <w:rPr>
          <w:rFonts w:ascii="宋体" w:hAnsi="宋体" w:cs="宋体"/>
          <w:szCs w:val="21"/>
        </w:rPr>
      </w:pPr>
      <w:r>
        <w:rPr>
          <w:rFonts w:hint="eastAsia" w:ascii="宋体" w:hAnsi="宋体" w:cs="宋体"/>
          <w:szCs w:val="21"/>
        </w:rPr>
        <w:t>6、根据河南省发展和改革委员会关于对《关于认定投标人投标文件制作机器码一致视为串通投标行为的请示》相关问题的批复》(豫发改公管〔2019〕198号)文件精神，如出现“投标/响应文件制作机器码一致”的情形，投标文件制作机器码一致的投标文件均作无效标处理。</w:t>
      </w:r>
    </w:p>
    <w:p w14:paraId="2EB4529D">
      <w:pPr>
        <w:snapToGrid w:val="0"/>
        <w:spacing w:line="360" w:lineRule="auto"/>
        <w:ind w:firstLine="432" w:firstLineChars="206"/>
        <w:rPr>
          <w:rFonts w:ascii="宋体" w:hAnsi="宋体" w:cs="宋体"/>
          <w:szCs w:val="21"/>
        </w:rPr>
      </w:pPr>
      <w:r>
        <w:rPr>
          <w:rFonts w:hint="eastAsia" w:ascii="宋体" w:hAnsi="宋体" w:cs="宋体"/>
          <w:szCs w:val="21"/>
        </w:rPr>
        <w:t>7、投标保证金：本项目不收取投标保证金，若交易中心系统内开标一览表确需填写，保证金金额可以填写“0”。</w:t>
      </w:r>
    </w:p>
    <w:p w14:paraId="01B8B2F3">
      <w:pPr>
        <w:rPr>
          <w:rFonts w:ascii="宋体" w:hAnsi="宋体" w:cs="宋体"/>
          <w:szCs w:val="21"/>
        </w:rPr>
      </w:pPr>
      <w:r>
        <w:rPr>
          <w:rFonts w:hint="eastAsia" w:ascii="宋体" w:hAnsi="宋体" w:cs="宋体"/>
          <w:szCs w:val="21"/>
        </w:rPr>
        <w:br w:type="page"/>
      </w:r>
    </w:p>
    <w:sdt>
      <w:sdtPr>
        <w:rPr>
          <w:rFonts w:ascii="宋体" w:hAnsi="宋体"/>
          <w:b/>
          <w:bCs/>
          <w:sz w:val="28"/>
          <w:szCs w:val="28"/>
        </w:rPr>
        <w:id w:val="147468810"/>
        <w:docPartObj>
          <w:docPartGallery w:val="Table of Contents"/>
          <w:docPartUnique/>
        </w:docPartObj>
      </w:sdtPr>
      <w:sdtEndPr>
        <w:rPr>
          <w:rFonts w:hint="eastAsia" w:ascii="宋体" w:hAnsi="宋体" w:cs="宋体"/>
          <w:b/>
          <w:bCs/>
          <w:sz w:val="21"/>
          <w:szCs w:val="21"/>
        </w:rPr>
      </w:sdtEndPr>
      <w:sdtContent>
        <w:p w14:paraId="32A6A459">
          <w:pPr>
            <w:jc w:val="center"/>
            <w:rPr>
              <w:b/>
              <w:bCs/>
              <w:sz w:val="28"/>
              <w:szCs w:val="28"/>
            </w:rPr>
          </w:pPr>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103FF19F">
          <w:pPr>
            <w:pStyle w:val="33"/>
            <w:tabs>
              <w:tab w:val="right" w:leader="dot" w:pos="8957"/>
            </w:tabs>
            <w:spacing w:line="360" w:lineRule="auto"/>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"_Toc13063" </w:instrText>
          </w:r>
          <w:r>
            <w:fldChar w:fldCharType="separate"/>
          </w:r>
          <w:r>
            <w:rPr>
              <w:rFonts w:hint="eastAsia"/>
              <w:kern w:val="44"/>
              <w:szCs w:val="15"/>
            </w:rPr>
            <w:t>第一章</w:t>
          </w:r>
          <w:r>
            <w:rPr>
              <w:rFonts w:hint="eastAsia"/>
              <w:szCs w:val="15"/>
            </w:rPr>
            <w:t xml:space="preserve"> 公开招标公告</w:t>
          </w:r>
          <w:r>
            <w:tab/>
          </w:r>
          <w:r>
            <w:fldChar w:fldCharType="begin"/>
          </w:r>
          <w:r>
            <w:instrText xml:space="preserve"> PAGEREF _Toc13063 \h </w:instrText>
          </w:r>
          <w:r>
            <w:fldChar w:fldCharType="separate"/>
          </w:r>
          <w:r>
            <w:t>- 5 -</w:t>
          </w:r>
          <w:r>
            <w:fldChar w:fldCharType="end"/>
          </w:r>
          <w:r>
            <w:fldChar w:fldCharType="end"/>
          </w:r>
        </w:p>
        <w:p w14:paraId="23E6C191">
          <w:pPr>
            <w:pStyle w:val="33"/>
            <w:tabs>
              <w:tab w:val="right" w:leader="dot" w:pos="8957"/>
            </w:tabs>
            <w:spacing w:line="360" w:lineRule="auto"/>
          </w:pPr>
          <w:r>
            <w:fldChar w:fldCharType="begin"/>
          </w:r>
          <w:r>
            <w:instrText xml:space="preserve"> HYPERLINK \l "_Toc31928" </w:instrText>
          </w:r>
          <w:r>
            <w:fldChar w:fldCharType="separate"/>
          </w:r>
          <w:r>
            <w:rPr>
              <w:rFonts w:hint="eastAsia" w:ascii="宋体" w:hAnsi="宋体"/>
              <w:szCs w:val="32"/>
            </w:rPr>
            <w:t>第二章  供应商须知</w:t>
          </w:r>
          <w:r>
            <w:tab/>
          </w:r>
          <w:r>
            <w:fldChar w:fldCharType="begin"/>
          </w:r>
          <w:r>
            <w:instrText xml:space="preserve"> PAGEREF _Toc31928 \h </w:instrText>
          </w:r>
          <w:r>
            <w:fldChar w:fldCharType="separate"/>
          </w:r>
          <w:r>
            <w:t>- 8 -</w:t>
          </w:r>
          <w:r>
            <w:fldChar w:fldCharType="end"/>
          </w:r>
          <w:r>
            <w:fldChar w:fldCharType="end"/>
          </w:r>
        </w:p>
        <w:p w14:paraId="6E812C49">
          <w:pPr>
            <w:pStyle w:val="42"/>
            <w:tabs>
              <w:tab w:val="right" w:leader="dot" w:pos="8957"/>
              <w:tab w:val="clear" w:pos="840"/>
              <w:tab w:val="clear" w:pos="9231"/>
            </w:tabs>
          </w:pPr>
          <w:r>
            <w:fldChar w:fldCharType="begin"/>
          </w:r>
          <w:r>
            <w:instrText xml:space="preserve"> HYPERLINK \l "_Toc14617" </w:instrText>
          </w:r>
          <w:r>
            <w:fldChar w:fldCharType="separate"/>
          </w:r>
          <w:r>
            <w:rPr>
              <w:rFonts w:hint="eastAsia" w:ascii="宋体" w:hAnsi="宋体" w:cs="宋体"/>
              <w:szCs w:val="30"/>
            </w:rPr>
            <w:t>供应商须知前附表</w:t>
          </w:r>
          <w:r>
            <w:tab/>
          </w:r>
          <w:r>
            <w:fldChar w:fldCharType="begin"/>
          </w:r>
          <w:r>
            <w:instrText xml:space="preserve"> PAGEREF _Toc14617 \h </w:instrText>
          </w:r>
          <w:r>
            <w:fldChar w:fldCharType="separate"/>
          </w:r>
          <w:r>
            <w:t>- 8 -</w:t>
          </w:r>
          <w:r>
            <w:fldChar w:fldCharType="end"/>
          </w:r>
          <w:r>
            <w:fldChar w:fldCharType="end"/>
          </w:r>
        </w:p>
        <w:p w14:paraId="7841D72C">
          <w:pPr>
            <w:pStyle w:val="42"/>
            <w:tabs>
              <w:tab w:val="right" w:leader="dot" w:pos="8957"/>
              <w:tab w:val="clear" w:pos="840"/>
              <w:tab w:val="clear" w:pos="9231"/>
            </w:tabs>
          </w:pPr>
          <w:r>
            <w:fldChar w:fldCharType="begin"/>
          </w:r>
          <w:r>
            <w:instrText xml:space="preserve"> HYPERLINK \l "_Toc23368" </w:instrText>
          </w:r>
          <w:r>
            <w:fldChar w:fldCharType="separate"/>
          </w:r>
          <w:r>
            <w:rPr>
              <w:rFonts w:hint="eastAsia" w:ascii="宋体" w:hAnsi="宋体" w:cs="宋体"/>
              <w:bCs/>
              <w:szCs w:val="21"/>
            </w:rPr>
            <w:t>1.总则</w:t>
          </w:r>
          <w:r>
            <w:tab/>
          </w:r>
          <w:r>
            <w:fldChar w:fldCharType="begin"/>
          </w:r>
          <w:r>
            <w:instrText xml:space="preserve"> PAGEREF _Toc23368 \h </w:instrText>
          </w:r>
          <w:r>
            <w:fldChar w:fldCharType="separate"/>
          </w:r>
          <w:r>
            <w:t>- 16 -</w:t>
          </w:r>
          <w:r>
            <w:fldChar w:fldCharType="end"/>
          </w:r>
          <w:r>
            <w:fldChar w:fldCharType="end"/>
          </w:r>
        </w:p>
        <w:p w14:paraId="57588F74">
          <w:pPr>
            <w:pStyle w:val="42"/>
            <w:tabs>
              <w:tab w:val="right" w:leader="dot" w:pos="8957"/>
              <w:tab w:val="clear" w:pos="840"/>
              <w:tab w:val="clear" w:pos="9231"/>
            </w:tabs>
          </w:pPr>
          <w:r>
            <w:fldChar w:fldCharType="begin"/>
          </w:r>
          <w:r>
            <w:instrText xml:space="preserve"> HYPERLINK \l "_Toc17336" </w:instrText>
          </w:r>
          <w:r>
            <w:fldChar w:fldCharType="separate"/>
          </w:r>
          <w:r>
            <w:rPr>
              <w:rFonts w:hint="eastAsia" w:ascii="宋体" w:hAnsi="宋体" w:cs="宋体"/>
              <w:szCs w:val="21"/>
            </w:rPr>
            <w:t>2.招标文件</w:t>
          </w:r>
          <w:r>
            <w:tab/>
          </w:r>
          <w:r>
            <w:fldChar w:fldCharType="begin"/>
          </w:r>
          <w:r>
            <w:instrText xml:space="preserve"> PAGEREF _Toc17336 \h </w:instrText>
          </w:r>
          <w:r>
            <w:fldChar w:fldCharType="separate"/>
          </w:r>
          <w:r>
            <w:t>- 17 -</w:t>
          </w:r>
          <w:r>
            <w:fldChar w:fldCharType="end"/>
          </w:r>
          <w:r>
            <w:fldChar w:fldCharType="end"/>
          </w:r>
        </w:p>
        <w:p w14:paraId="5962BA1E">
          <w:pPr>
            <w:pStyle w:val="42"/>
            <w:tabs>
              <w:tab w:val="right" w:leader="dot" w:pos="8957"/>
              <w:tab w:val="clear" w:pos="840"/>
              <w:tab w:val="clear" w:pos="9231"/>
            </w:tabs>
          </w:pPr>
          <w:r>
            <w:fldChar w:fldCharType="begin"/>
          </w:r>
          <w:r>
            <w:instrText xml:space="preserve"> HYPERLINK \l "_Toc24222" </w:instrText>
          </w:r>
          <w:r>
            <w:fldChar w:fldCharType="separate"/>
          </w:r>
          <w:r>
            <w:rPr>
              <w:rFonts w:hint="eastAsia" w:ascii="宋体" w:hAnsi="宋体" w:cs="宋体"/>
              <w:szCs w:val="21"/>
            </w:rPr>
            <w:t>3.投标文件</w:t>
          </w:r>
          <w:r>
            <w:tab/>
          </w:r>
          <w:r>
            <w:fldChar w:fldCharType="begin"/>
          </w:r>
          <w:r>
            <w:instrText xml:space="preserve"> PAGEREF _Toc24222 \h </w:instrText>
          </w:r>
          <w:r>
            <w:fldChar w:fldCharType="separate"/>
          </w:r>
          <w:r>
            <w:t>- 18 -</w:t>
          </w:r>
          <w:r>
            <w:fldChar w:fldCharType="end"/>
          </w:r>
          <w:r>
            <w:fldChar w:fldCharType="end"/>
          </w:r>
        </w:p>
        <w:p w14:paraId="11C938CE">
          <w:pPr>
            <w:pStyle w:val="42"/>
            <w:tabs>
              <w:tab w:val="right" w:leader="dot" w:pos="8957"/>
              <w:tab w:val="clear" w:pos="840"/>
              <w:tab w:val="clear" w:pos="9231"/>
            </w:tabs>
          </w:pPr>
          <w:r>
            <w:fldChar w:fldCharType="begin"/>
          </w:r>
          <w:r>
            <w:instrText xml:space="preserve"> HYPERLINK \l "_Toc3518" </w:instrText>
          </w:r>
          <w:r>
            <w:fldChar w:fldCharType="separate"/>
          </w:r>
          <w:r>
            <w:rPr>
              <w:rFonts w:hint="eastAsia" w:ascii="宋体" w:hAnsi="宋体" w:cs="宋体"/>
              <w:szCs w:val="21"/>
            </w:rPr>
            <w:t>4.投标</w:t>
          </w:r>
          <w:r>
            <w:tab/>
          </w:r>
          <w:r>
            <w:fldChar w:fldCharType="begin"/>
          </w:r>
          <w:r>
            <w:instrText xml:space="preserve"> PAGEREF _Toc3518 \h </w:instrText>
          </w:r>
          <w:r>
            <w:fldChar w:fldCharType="separate"/>
          </w:r>
          <w:r>
            <w:t>- 20 -</w:t>
          </w:r>
          <w:r>
            <w:fldChar w:fldCharType="end"/>
          </w:r>
          <w:r>
            <w:fldChar w:fldCharType="end"/>
          </w:r>
        </w:p>
        <w:p w14:paraId="48F35B1B">
          <w:pPr>
            <w:pStyle w:val="42"/>
            <w:tabs>
              <w:tab w:val="right" w:leader="dot" w:pos="8957"/>
              <w:tab w:val="clear" w:pos="840"/>
              <w:tab w:val="clear" w:pos="9231"/>
            </w:tabs>
          </w:pPr>
          <w:r>
            <w:fldChar w:fldCharType="begin"/>
          </w:r>
          <w:r>
            <w:instrText xml:space="preserve"> HYPERLINK \l "_Toc19348" </w:instrText>
          </w:r>
          <w:r>
            <w:fldChar w:fldCharType="separate"/>
          </w:r>
          <w:r>
            <w:rPr>
              <w:rFonts w:hint="eastAsia" w:ascii="宋体" w:hAnsi="宋体" w:cs="宋体"/>
              <w:szCs w:val="21"/>
            </w:rPr>
            <w:t>5.开标</w:t>
          </w:r>
          <w:r>
            <w:tab/>
          </w:r>
          <w:r>
            <w:fldChar w:fldCharType="begin"/>
          </w:r>
          <w:r>
            <w:instrText xml:space="preserve"> PAGEREF _Toc19348 \h </w:instrText>
          </w:r>
          <w:r>
            <w:fldChar w:fldCharType="separate"/>
          </w:r>
          <w:r>
            <w:t>- 21 -</w:t>
          </w:r>
          <w:r>
            <w:fldChar w:fldCharType="end"/>
          </w:r>
          <w:r>
            <w:fldChar w:fldCharType="end"/>
          </w:r>
        </w:p>
        <w:p w14:paraId="2E2BDAC0">
          <w:pPr>
            <w:pStyle w:val="42"/>
            <w:tabs>
              <w:tab w:val="right" w:leader="dot" w:pos="8957"/>
              <w:tab w:val="clear" w:pos="840"/>
              <w:tab w:val="clear" w:pos="9231"/>
            </w:tabs>
          </w:pPr>
          <w:r>
            <w:fldChar w:fldCharType="begin"/>
          </w:r>
          <w:r>
            <w:instrText xml:space="preserve"> HYPERLINK \l "_Toc4190" </w:instrText>
          </w:r>
          <w:r>
            <w:fldChar w:fldCharType="separate"/>
          </w:r>
          <w:r>
            <w:rPr>
              <w:rFonts w:hint="eastAsia" w:ascii="宋体" w:hAnsi="宋体" w:cs="宋体"/>
              <w:szCs w:val="21"/>
            </w:rPr>
            <w:t>6.资格审查及评标</w:t>
          </w:r>
          <w:r>
            <w:tab/>
          </w:r>
          <w:r>
            <w:fldChar w:fldCharType="begin"/>
          </w:r>
          <w:r>
            <w:instrText xml:space="preserve"> PAGEREF _Toc4190 \h </w:instrText>
          </w:r>
          <w:r>
            <w:fldChar w:fldCharType="separate"/>
          </w:r>
          <w:r>
            <w:t>- 21 -</w:t>
          </w:r>
          <w:r>
            <w:fldChar w:fldCharType="end"/>
          </w:r>
          <w:r>
            <w:fldChar w:fldCharType="end"/>
          </w:r>
        </w:p>
        <w:p w14:paraId="0E49237C">
          <w:pPr>
            <w:pStyle w:val="42"/>
            <w:tabs>
              <w:tab w:val="right" w:leader="dot" w:pos="8957"/>
              <w:tab w:val="clear" w:pos="840"/>
              <w:tab w:val="clear" w:pos="9231"/>
            </w:tabs>
          </w:pPr>
          <w:r>
            <w:fldChar w:fldCharType="begin"/>
          </w:r>
          <w:r>
            <w:instrText xml:space="preserve"> HYPERLINK \l "_Toc26450" </w:instrText>
          </w:r>
          <w:r>
            <w:fldChar w:fldCharType="separate"/>
          </w:r>
          <w:r>
            <w:rPr>
              <w:rFonts w:hint="eastAsia" w:ascii="宋体" w:hAnsi="宋体" w:cs="宋体"/>
              <w:szCs w:val="21"/>
            </w:rPr>
            <w:t>7.合同授予</w:t>
          </w:r>
          <w:r>
            <w:tab/>
          </w:r>
          <w:r>
            <w:fldChar w:fldCharType="begin"/>
          </w:r>
          <w:r>
            <w:instrText xml:space="preserve"> PAGEREF _Toc26450 \h </w:instrText>
          </w:r>
          <w:r>
            <w:fldChar w:fldCharType="separate"/>
          </w:r>
          <w:r>
            <w:t>- 23 -</w:t>
          </w:r>
          <w:r>
            <w:fldChar w:fldCharType="end"/>
          </w:r>
          <w:r>
            <w:fldChar w:fldCharType="end"/>
          </w:r>
        </w:p>
        <w:p w14:paraId="0A60FAAB">
          <w:pPr>
            <w:pStyle w:val="42"/>
            <w:tabs>
              <w:tab w:val="right" w:leader="dot" w:pos="8957"/>
              <w:tab w:val="clear" w:pos="840"/>
              <w:tab w:val="clear" w:pos="9231"/>
            </w:tabs>
          </w:pPr>
          <w:r>
            <w:fldChar w:fldCharType="begin"/>
          </w:r>
          <w:r>
            <w:instrText xml:space="preserve"> HYPERLINK \l "_Toc20977" </w:instrText>
          </w:r>
          <w:r>
            <w:fldChar w:fldCharType="separate"/>
          </w:r>
          <w:r>
            <w:rPr>
              <w:rFonts w:hint="eastAsia" w:ascii="宋体" w:hAnsi="宋体" w:cs="宋体"/>
              <w:szCs w:val="21"/>
            </w:rPr>
            <w:t>8.废标和重新招标</w:t>
          </w:r>
          <w:r>
            <w:tab/>
          </w:r>
          <w:r>
            <w:fldChar w:fldCharType="begin"/>
          </w:r>
          <w:r>
            <w:instrText xml:space="preserve"> PAGEREF _Toc20977 \h </w:instrText>
          </w:r>
          <w:r>
            <w:fldChar w:fldCharType="separate"/>
          </w:r>
          <w:r>
            <w:t>- 24 -</w:t>
          </w:r>
          <w:r>
            <w:fldChar w:fldCharType="end"/>
          </w:r>
          <w:r>
            <w:fldChar w:fldCharType="end"/>
          </w:r>
        </w:p>
        <w:p w14:paraId="6624798C">
          <w:pPr>
            <w:pStyle w:val="42"/>
            <w:tabs>
              <w:tab w:val="right" w:leader="dot" w:pos="8957"/>
              <w:tab w:val="clear" w:pos="840"/>
              <w:tab w:val="clear" w:pos="9231"/>
            </w:tabs>
          </w:pPr>
          <w:r>
            <w:fldChar w:fldCharType="begin"/>
          </w:r>
          <w:r>
            <w:instrText xml:space="preserve"> HYPERLINK \l "_Toc25934" </w:instrText>
          </w:r>
          <w:r>
            <w:fldChar w:fldCharType="separate"/>
          </w:r>
          <w:r>
            <w:rPr>
              <w:rFonts w:hint="eastAsia" w:ascii="宋体" w:hAnsi="宋体" w:cs="宋体"/>
              <w:szCs w:val="21"/>
            </w:rPr>
            <w:t>9.纪律和监督</w:t>
          </w:r>
          <w:r>
            <w:tab/>
          </w:r>
          <w:r>
            <w:fldChar w:fldCharType="begin"/>
          </w:r>
          <w:r>
            <w:instrText xml:space="preserve"> PAGEREF _Toc25934 \h </w:instrText>
          </w:r>
          <w:r>
            <w:fldChar w:fldCharType="separate"/>
          </w:r>
          <w:r>
            <w:t>- 24 -</w:t>
          </w:r>
          <w:r>
            <w:fldChar w:fldCharType="end"/>
          </w:r>
          <w:r>
            <w:fldChar w:fldCharType="end"/>
          </w:r>
        </w:p>
        <w:p w14:paraId="2220DC27">
          <w:pPr>
            <w:pStyle w:val="42"/>
            <w:tabs>
              <w:tab w:val="right" w:leader="dot" w:pos="8957"/>
              <w:tab w:val="clear" w:pos="840"/>
              <w:tab w:val="clear" w:pos="9231"/>
            </w:tabs>
          </w:pPr>
          <w:r>
            <w:fldChar w:fldCharType="begin"/>
          </w:r>
          <w:r>
            <w:instrText xml:space="preserve"> HYPERLINK \l "_Toc3194" </w:instrText>
          </w:r>
          <w:r>
            <w:fldChar w:fldCharType="separate"/>
          </w:r>
          <w:r>
            <w:rPr>
              <w:rFonts w:hint="eastAsia" w:ascii="宋体" w:hAnsi="宋体" w:cs="宋体"/>
              <w:szCs w:val="21"/>
            </w:rPr>
            <w:t>10.需要补充的其他内容</w:t>
          </w:r>
          <w:r>
            <w:tab/>
          </w:r>
          <w:r>
            <w:fldChar w:fldCharType="begin"/>
          </w:r>
          <w:r>
            <w:instrText xml:space="preserve"> PAGEREF _Toc3194 \h </w:instrText>
          </w:r>
          <w:r>
            <w:fldChar w:fldCharType="separate"/>
          </w:r>
          <w:r>
            <w:t>- 26 -</w:t>
          </w:r>
          <w:r>
            <w:fldChar w:fldCharType="end"/>
          </w:r>
          <w:r>
            <w:fldChar w:fldCharType="end"/>
          </w:r>
        </w:p>
        <w:p w14:paraId="5101B810">
          <w:pPr>
            <w:pStyle w:val="33"/>
            <w:tabs>
              <w:tab w:val="right" w:leader="dot" w:pos="8957"/>
            </w:tabs>
            <w:spacing w:line="360" w:lineRule="auto"/>
          </w:pPr>
          <w:r>
            <w:fldChar w:fldCharType="begin"/>
          </w:r>
          <w:r>
            <w:instrText xml:space="preserve"> HYPERLINK \l "_Toc8798" </w:instrText>
          </w:r>
          <w:r>
            <w:fldChar w:fldCharType="separate"/>
          </w:r>
          <w:r>
            <w:rPr>
              <w:rFonts w:hint="eastAsia" w:ascii="宋体" w:hAnsi="宋体"/>
              <w:szCs w:val="32"/>
            </w:rPr>
            <w:t>第三章 资格审查、评标办法及标准</w:t>
          </w:r>
          <w:r>
            <w:tab/>
          </w:r>
          <w:r>
            <w:fldChar w:fldCharType="begin"/>
          </w:r>
          <w:r>
            <w:instrText xml:space="preserve"> PAGEREF _Toc8798 \h </w:instrText>
          </w:r>
          <w:r>
            <w:fldChar w:fldCharType="separate"/>
          </w:r>
          <w:r>
            <w:t>- 27 -</w:t>
          </w:r>
          <w:r>
            <w:fldChar w:fldCharType="end"/>
          </w:r>
          <w:r>
            <w:fldChar w:fldCharType="end"/>
          </w:r>
        </w:p>
        <w:p w14:paraId="5662542E">
          <w:pPr>
            <w:pStyle w:val="33"/>
            <w:tabs>
              <w:tab w:val="right" w:leader="dot" w:pos="8957"/>
            </w:tabs>
            <w:spacing w:line="360" w:lineRule="auto"/>
          </w:pPr>
          <w:r>
            <w:fldChar w:fldCharType="begin"/>
          </w:r>
          <w:r>
            <w:instrText xml:space="preserve"> HYPERLINK \l "_Toc28901" </w:instrText>
          </w:r>
          <w:r>
            <w:fldChar w:fldCharType="separate"/>
          </w:r>
          <w:r>
            <w:rPr>
              <w:rFonts w:hint="eastAsia" w:ascii="宋体" w:hAnsi="宋体"/>
              <w:szCs w:val="32"/>
            </w:rPr>
            <w:t>第四章 合同协议书（格式）</w:t>
          </w:r>
          <w:r>
            <w:tab/>
          </w:r>
          <w:r>
            <w:fldChar w:fldCharType="begin"/>
          </w:r>
          <w:r>
            <w:instrText xml:space="preserve"> PAGEREF _Toc28901 \h </w:instrText>
          </w:r>
          <w:r>
            <w:fldChar w:fldCharType="separate"/>
          </w:r>
          <w:r>
            <w:t>- 35 -</w:t>
          </w:r>
          <w:r>
            <w:fldChar w:fldCharType="end"/>
          </w:r>
          <w:r>
            <w:fldChar w:fldCharType="end"/>
          </w:r>
        </w:p>
        <w:p w14:paraId="113F7034">
          <w:pPr>
            <w:pStyle w:val="33"/>
            <w:tabs>
              <w:tab w:val="right" w:leader="dot" w:pos="8957"/>
            </w:tabs>
            <w:spacing w:line="360" w:lineRule="auto"/>
          </w:pPr>
          <w:r>
            <w:fldChar w:fldCharType="begin"/>
          </w:r>
          <w:r>
            <w:instrText xml:space="preserve"> HYPERLINK \l "_Toc32104" </w:instrText>
          </w:r>
          <w:r>
            <w:fldChar w:fldCharType="separate"/>
          </w:r>
          <w:r>
            <w:rPr>
              <w:rFonts w:hint="eastAsia" w:ascii="宋体" w:hAnsi="宋体"/>
              <w:szCs w:val="32"/>
            </w:rPr>
            <w:t>第五章 项目需求</w:t>
          </w:r>
          <w:r>
            <w:tab/>
          </w:r>
          <w:r>
            <w:fldChar w:fldCharType="begin"/>
          </w:r>
          <w:r>
            <w:instrText xml:space="preserve"> PAGEREF _Toc32104 \h </w:instrText>
          </w:r>
          <w:r>
            <w:fldChar w:fldCharType="separate"/>
          </w:r>
          <w:r>
            <w:t>- 44 -</w:t>
          </w:r>
          <w:r>
            <w:fldChar w:fldCharType="end"/>
          </w:r>
          <w:r>
            <w:fldChar w:fldCharType="end"/>
          </w:r>
        </w:p>
        <w:p w14:paraId="1CA0F3D0">
          <w:pPr>
            <w:pStyle w:val="33"/>
            <w:tabs>
              <w:tab w:val="right" w:leader="dot" w:pos="8957"/>
            </w:tabs>
            <w:spacing w:line="360" w:lineRule="auto"/>
          </w:pPr>
          <w:r>
            <w:fldChar w:fldCharType="begin"/>
          </w:r>
          <w:r>
            <w:instrText xml:space="preserve"> HYPERLINK \l "_Toc13702" </w:instrText>
          </w:r>
          <w:r>
            <w:fldChar w:fldCharType="separate"/>
          </w:r>
          <w:r>
            <w:rPr>
              <w:rFonts w:hint="eastAsia"/>
              <w:szCs w:val="15"/>
            </w:rPr>
            <w:t>第六章  投标文件格式及附件</w:t>
          </w:r>
          <w:r>
            <w:tab/>
          </w:r>
          <w:r>
            <w:fldChar w:fldCharType="begin"/>
          </w:r>
          <w:r>
            <w:instrText xml:space="preserve"> PAGEREF _Toc13702 \h </w:instrText>
          </w:r>
          <w:r>
            <w:fldChar w:fldCharType="separate"/>
          </w:r>
          <w:r>
            <w:t>- 49 -</w:t>
          </w:r>
          <w:r>
            <w:fldChar w:fldCharType="end"/>
          </w:r>
          <w:r>
            <w:fldChar w:fldCharType="end"/>
          </w:r>
        </w:p>
        <w:p w14:paraId="7AF0808A">
          <w:pPr>
            <w:pStyle w:val="42"/>
            <w:tabs>
              <w:tab w:val="right" w:leader="dot" w:pos="8957"/>
              <w:tab w:val="clear" w:pos="840"/>
              <w:tab w:val="clear" w:pos="9231"/>
            </w:tabs>
          </w:pPr>
          <w:r>
            <w:fldChar w:fldCharType="begin"/>
          </w:r>
          <w:r>
            <w:instrText xml:space="preserve"> HYPERLINK \l "_Toc25195" </w:instrText>
          </w:r>
          <w:r>
            <w:fldChar w:fldCharType="separate"/>
          </w:r>
          <w:r>
            <w:rPr>
              <w:rFonts w:hint="eastAsia"/>
              <w:szCs w:val="18"/>
            </w:rPr>
            <w:t>一、投标函</w:t>
          </w:r>
          <w:r>
            <w:tab/>
          </w:r>
          <w:r>
            <w:fldChar w:fldCharType="begin"/>
          </w:r>
          <w:r>
            <w:instrText xml:space="preserve"> PAGEREF _Toc25195 \h </w:instrText>
          </w:r>
          <w:r>
            <w:fldChar w:fldCharType="separate"/>
          </w:r>
          <w:r>
            <w:t>- 51 -</w:t>
          </w:r>
          <w:r>
            <w:fldChar w:fldCharType="end"/>
          </w:r>
          <w:r>
            <w:fldChar w:fldCharType="end"/>
          </w:r>
        </w:p>
        <w:p w14:paraId="67C73006">
          <w:pPr>
            <w:pStyle w:val="42"/>
            <w:tabs>
              <w:tab w:val="right" w:leader="dot" w:pos="8957"/>
              <w:tab w:val="clear" w:pos="840"/>
              <w:tab w:val="clear" w:pos="9231"/>
            </w:tabs>
          </w:pPr>
          <w:r>
            <w:fldChar w:fldCharType="begin"/>
          </w:r>
          <w:r>
            <w:instrText xml:space="preserve"> HYPERLINK \l "_Toc20847" </w:instrText>
          </w:r>
          <w:r>
            <w:fldChar w:fldCharType="separate"/>
          </w:r>
          <w:r>
            <w:rPr>
              <w:rFonts w:hint="eastAsia" w:ascii="宋体" w:hAnsi="宋体"/>
              <w:bCs/>
              <w:szCs w:val="28"/>
            </w:rPr>
            <w:t>二、开标</w:t>
          </w:r>
          <w:r>
            <w:rPr>
              <w:rFonts w:ascii="宋体" w:hAnsi="宋体"/>
              <w:bCs/>
              <w:szCs w:val="28"/>
            </w:rPr>
            <w:t>一览表</w:t>
          </w:r>
          <w:r>
            <w:tab/>
          </w:r>
          <w:r>
            <w:fldChar w:fldCharType="begin"/>
          </w:r>
          <w:r>
            <w:instrText xml:space="preserve"> PAGEREF _Toc20847 \h </w:instrText>
          </w:r>
          <w:r>
            <w:fldChar w:fldCharType="separate"/>
          </w:r>
          <w:r>
            <w:t>- 52 -</w:t>
          </w:r>
          <w:r>
            <w:fldChar w:fldCharType="end"/>
          </w:r>
          <w:r>
            <w:fldChar w:fldCharType="end"/>
          </w:r>
        </w:p>
        <w:p w14:paraId="368AF368">
          <w:pPr>
            <w:pStyle w:val="42"/>
            <w:tabs>
              <w:tab w:val="right" w:leader="dot" w:pos="8957"/>
              <w:tab w:val="clear" w:pos="840"/>
              <w:tab w:val="clear" w:pos="9231"/>
            </w:tabs>
          </w:pPr>
          <w:r>
            <w:fldChar w:fldCharType="begin"/>
          </w:r>
          <w:r>
            <w:instrText xml:space="preserve"> HYPERLINK \l "_Toc20312" </w:instrText>
          </w:r>
          <w:r>
            <w:fldChar w:fldCharType="separate"/>
          </w:r>
          <w:r>
            <w:rPr>
              <w:rFonts w:hint="eastAsia" w:ascii="宋体" w:hAnsi="宋体" w:cs="宋体"/>
              <w:szCs w:val="22"/>
            </w:rPr>
            <w:t>三、资格审查资料</w:t>
          </w:r>
          <w:r>
            <w:tab/>
          </w:r>
          <w:r>
            <w:fldChar w:fldCharType="begin"/>
          </w:r>
          <w:r>
            <w:instrText xml:space="preserve"> PAGEREF _Toc20312 \h </w:instrText>
          </w:r>
          <w:r>
            <w:fldChar w:fldCharType="separate"/>
          </w:r>
          <w:r>
            <w:t>- 56 -</w:t>
          </w:r>
          <w:r>
            <w:fldChar w:fldCharType="end"/>
          </w:r>
          <w:r>
            <w:fldChar w:fldCharType="end"/>
          </w:r>
        </w:p>
        <w:p w14:paraId="37F728ED">
          <w:pPr>
            <w:pStyle w:val="42"/>
            <w:tabs>
              <w:tab w:val="right" w:leader="dot" w:pos="8957"/>
              <w:tab w:val="clear" w:pos="840"/>
              <w:tab w:val="clear" w:pos="9231"/>
            </w:tabs>
          </w:pPr>
          <w:r>
            <w:fldChar w:fldCharType="begin"/>
          </w:r>
          <w:r>
            <w:instrText xml:space="preserve"> HYPERLINK \l "_Toc29309" </w:instrText>
          </w:r>
          <w:r>
            <w:fldChar w:fldCharType="separate"/>
          </w:r>
          <w:r>
            <w:rPr>
              <w:rFonts w:hint="eastAsia"/>
              <w:szCs w:val="18"/>
            </w:rPr>
            <w:t>四、反商业贿赂承诺书</w:t>
          </w:r>
          <w:r>
            <w:tab/>
          </w:r>
          <w:r>
            <w:fldChar w:fldCharType="begin"/>
          </w:r>
          <w:r>
            <w:instrText xml:space="preserve"> PAGEREF _Toc29309 \h </w:instrText>
          </w:r>
          <w:r>
            <w:fldChar w:fldCharType="separate"/>
          </w:r>
          <w:r>
            <w:t>- 60 -</w:t>
          </w:r>
          <w:r>
            <w:fldChar w:fldCharType="end"/>
          </w:r>
          <w:r>
            <w:fldChar w:fldCharType="end"/>
          </w:r>
        </w:p>
        <w:p w14:paraId="2218BE9F">
          <w:pPr>
            <w:pStyle w:val="42"/>
            <w:tabs>
              <w:tab w:val="right" w:leader="dot" w:pos="8957"/>
              <w:tab w:val="clear" w:pos="840"/>
              <w:tab w:val="clear" w:pos="9231"/>
            </w:tabs>
          </w:pPr>
          <w:r>
            <w:fldChar w:fldCharType="begin"/>
          </w:r>
          <w:r>
            <w:instrText xml:space="preserve"> HYPERLINK \l "_Toc19842" </w:instrText>
          </w:r>
          <w:r>
            <w:fldChar w:fldCharType="separate"/>
          </w:r>
          <w:r>
            <w:rPr>
              <w:rFonts w:hint="eastAsia"/>
              <w:szCs w:val="18"/>
            </w:rPr>
            <w:t>五</w:t>
          </w:r>
          <w:r>
            <w:rPr>
              <w:rFonts w:hint="eastAsia" w:ascii="Arial" w:hAnsi="Arial"/>
              <w:szCs w:val="18"/>
            </w:rPr>
            <w:t>、</w:t>
          </w:r>
          <w:r>
            <w:rPr>
              <w:rFonts w:hint="eastAsia"/>
              <w:szCs w:val="18"/>
            </w:rPr>
            <w:t>采购服务需求响应表</w:t>
          </w:r>
          <w:r>
            <w:tab/>
          </w:r>
          <w:r>
            <w:fldChar w:fldCharType="begin"/>
          </w:r>
          <w:r>
            <w:instrText xml:space="preserve"> PAGEREF _Toc19842 \h </w:instrText>
          </w:r>
          <w:r>
            <w:fldChar w:fldCharType="separate"/>
          </w:r>
          <w:r>
            <w:t>- 61 -</w:t>
          </w:r>
          <w:r>
            <w:fldChar w:fldCharType="end"/>
          </w:r>
          <w:r>
            <w:fldChar w:fldCharType="end"/>
          </w:r>
        </w:p>
        <w:p w14:paraId="7AAC084E">
          <w:pPr>
            <w:pStyle w:val="42"/>
            <w:tabs>
              <w:tab w:val="right" w:leader="dot" w:pos="8957"/>
              <w:tab w:val="clear" w:pos="840"/>
              <w:tab w:val="clear" w:pos="9231"/>
            </w:tabs>
          </w:pPr>
          <w:r>
            <w:fldChar w:fldCharType="begin"/>
          </w:r>
          <w:r>
            <w:instrText xml:space="preserve"> HYPERLINK \l "_Toc22774" </w:instrText>
          </w:r>
          <w:r>
            <w:fldChar w:fldCharType="separate"/>
          </w:r>
          <w:r>
            <w:rPr>
              <w:rFonts w:hint="eastAsia"/>
              <w:szCs w:val="18"/>
            </w:rPr>
            <w:t>六、类似项目业绩情况</w:t>
          </w:r>
          <w:r>
            <w:tab/>
          </w:r>
          <w:r>
            <w:fldChar w:fldCharType="begin"/>
          </w:r>
          <w:r>
            <w:instrText xml:space="preserve"> PAGEREF _Toc22774 \h </w:instrText>
          </w:r>
          <w:r>
            <w:fldChar w:fldCharType="separate"/>
          </w:r>
          <w:r>
            <w:t>- 62 -</w:t>
          </w:r>
          <w:r>
            <w:fldChar w:fldCharType="end"/>
          </w:r>
          <w:r>
            <w:fldChar w:fldCharType="end"/>
          </w:r>
        </w:p>
        <w:p w14:paraId="48AA225A">
          <w:pPr>
            <w:pStyle w:val="42"/>
            <w:tabs>
              <w:tab w:val="right" w:leader="dot" w:pos="8957"/>
              <w:tab w:val="clear" w:pos="840"/>
              <w:tab w:val="clear" w:pos="9231"/>
            </w:tabs>
          </w:pPr>
          <w:r>
            <w:fldChar w:fldCharType="begin"/>
          </w:r>
          <w:r>
            <w:instrText xml:space="preserve"> HYPERLINK \l "_Toc1477" </w:instrText>
          </w:r>
          <w:r>
            <w:fldChar w:fldCharType="separate"/>
          </w:r>
          <w:r>
            <w:rPr>
              <w:rFonts w:hint="eastAsia"/>
              <w:szCs w:val="28"/>
            </w:rPr>
            <w:t>七、拟派人员情况表</w:t>
          </w:r>
          <w:r>
            <w:tab/>
          </w:r>
          <w:r>
            <w:fldChar w:fldCharType="begin"/>
          </w:r>
          <w:r>
            <w:instrText xml:space="preserve"> PAGEREF _Toc1477 \h </w:instrText>
          </w:r>
          <w:r>
            <w:fldChar w:fldCharType="separate"/>
          </w:r>
          <w:r>
            <w:t>- 64 -</w:t>
          </w:r>
          <w:r>
            <w:fldChar w:fldCharType="end"/>
          </w:r>
          <w:r>
            <w:fldChar w:fldCharType="end"/>
          </w:r>
        </w:p>
        <w:p w14:paraId="0FDA6553">
          <w:pPr>
            <w:pStyle w:val="42"/>
            <w:tabs>
              <w:tab w:val="right" w:leader="dot" w:pos="8957"/>
              <w:tab w:val="clear" w:pos="840"/>
              <w:tab w:val="clear" w:pos="9231"/>
            </w:tabs>
          </w:pPr>
          <w:r>
            <w:fldChar w:fldCharType="begin"/>
          </w:r>
          <w:r>
            <w:instrText xml:space="preserve"> HYPERLINK \l "_Toc25539" </w:instrText>
          </w:r>
          <w:r>
            <w:fldChar w:fldCharType="separate"/>
          </w:r>
          <w:r>
            <w:rPr>
              <w:rFonts w:hint="eastAsia"/>
              <w:szCs w:val="18"/>
            </w:rPr>
            <w:t>八、服务承诺</w:t>
          </w:r>
          <w:r>
            <w:tab/>
          </w:r>
          <w:r>
            <w:fldChar w:fldCharType="begin"/>
          </w:r>
          <w:r>
            <w:instrText xml:space="preserve"> PAGEREF _Toc25539 \h </w:instrText>
          </w:r>
          <w:r>
            <w:fldChar w:fldCharType="separate"/>
          </w:r>
          <w:r>
            <w:t>- 65 -</w:t>
          </w:r>
          <w:r>
            <w:fldChar w:fldCharType="end"/>
          </w:r>
          <w:r>
            <w:fldChar w:fldCharType="end"/>
          </w:r>
        </w:p>
        <w:p w14:paraId="56732B1E">
          <w:pPr>
            <w:pStyle w:val="42"/>
            <w:tabs>
              <w:tab w:val="right" w:leader="dot" w:pos="8957"/>
              <w:tab w:val="clear" w:pos="840"/>
              <w:tab w:val="clear" w:pos="9231"/>
            </w:tabs>
          </w:pPr>
          <w:r>
            <w:fldChar w:fldCharType="begin"/>
          </w:r>
          <w:r>
            <w:instrText xml:space="preserve"> HYPERLINK \l "_Toc26292" </w:instrText>
          </w:r>
          <w:r>
            <w:fldChar w:fldCharType="separate"/>
          </w:r>
          <w:r>
            <w:rPr>
              <w:rFonts w:hint="eastAsia"/>
              <w:szCs w:val="18"/>
            </w:rPr>
            <w:t>九、服务方案</w:t>
          </w:r>
          <w:r>
            <w:tab/>
          </w:r>
          <w:r>
            <w:fldChar w:fldCharType="begin"/>
          </w:r>
          <w:r>
            <w:instrText xml:space="preserve"> PAGEREF _Toc26292 \h </w:instrText>
          </w:r>
          <w:r>
            <w:fldChar w:fldCharType="separate"/>
          </w:r>
          <w:r>
            <w:t>- 66 -</w:t>
          </w:r>
          <w:r>
            <w:fldChar w:fldCharType="end"/>
          </w:r>
          <w:r>
            <w:fldChar w:fldCharType="end"/>
          </w:r>
        </w:p>
        <w:p w14:paraId="168CEFCE">
          <w:pPr>
            <w:pStyle w:val="42"/>
            <w:tabs>
              <w:tab w:val="right" w:leader="dot" w:pos="8957"/>
              <w:tab w:val="clear" w:pos="840"/>
              <w:tab w:val="clear" w:pos="9231"/>
            </w:tabs>
          </w:pPr>
          <w:r>
            <w:fldChar w:fldCharType="begin"/>
          </w:r>
          <w:r>
            <w:instrText xml:space="preserve"> HYPERLINK \l "_Toc26773" </w:instrText>
          </w:r>
          <w:r>
            <w:fldChar w:fldCharType="separate"/>
          </w:r>
          <w:r>
            <w:rPr>
              <w:rFonts w:hint="eastAsia"/>
              <w:szCs w:val="28"/>
            </w:rPr>
            <w:t>十、其他资料</w:t>
          </w:r>
          <w:r>
            <w:tab/>
          </w:r>
          <w:r>
            <w:fldChar w:fldCharType="begin"/>
          </w:r>
          <w:r>
            <w:instrText xml:space="preserve"> PAGEREF _Toc26773 \h </w:instrText>
          </w:r>
          <w:r>
            <w:fldChar w:fldCharType="separate"/>
          </w:r>
          <w:r>
            <w:t>- 67 -</w:t>
          </w:r>
          <w:r>
            <w:fldChar w:fldCharType="end"/>
          </w:r>
          <w:r>
            <w:fldChar w:fldCharType="end"/>
          </w:r>
        </w:p>
        <w:p w14:paraId="2C782855">
          <w:pPr>
            <w:snapToGrid w:val="0"/>
            <w:spacing w:line="360" w:lineRule="auto"/>
            <w:ind w:firstLine="432" w:firstLineChars="206"/>
            <w:rPr>
              <w:rFonts w:ascii="宋体" w:hAnsi="宋体" w:cs="宋体"/>
              <w:szCs w:val="21"/>
            </w:rPr>
          </w:pPr>
          <w:r>
            <w:rPr>
              <w:rFonts w:hint="eastAsia" w:ascii="宋体" w:hAnsi="宋体" w:cs="宋体"/>
              <w:szCs w:val="21"/>
            </w:rPr>
            <w:fldChar w:fldCharType="end"/>
          </w:r>
        </w:p>
      </w:sdtContent>
    </w:sdt>
    <w:p w14:paraId="01A4769C">
      <w:pPr>
        <w:snapToGrid w:val="0"/>
        <w:spacing w:line="360" w:lineRule="auto"/>
        <w:ind w:firstLine="432" w:firstLineChars="206"/>
        <w:rPr>
          <w:rFonts w:ascii="宋体" w:hAnsi="宋体" w:cs="宋体"/>
          <w:szCs w:val="21"/>
        </w:rPr>
      </w:pPr>
    </w:p>
    <w:p w14:paraId="63CC29F8">
      <w:pPr>
        <w:rPr>
          <w:sz w:val="32"/>
          <w:szCs w:val="15"/>
        </w:rPr>
      </w:pPr>
      <w:bookmarkStart w:id="8" w:name="_Toc32835829"/>
      <w:bookmarkStart w:id="9" w:name="_Toc21575"/>
      <w:bookmarkStart w:id="10" w:name="_Toc430160310"/>
      <w:bookmarkStart w:id="11" w:name="_Toc11259"/>
      <w:r>
        <w:rPr>
          <w:rFonts w:hint="eastAsia"/>
          <w:sz w:val="32"/>
          <w:szCs w:val="15"/>
        </w:rPr>
        <w:br w:type="page"/>
      </w:r>
    </w:p>
    <w:p w14:paraId="1136CA20">
      <w:pPr>
        <w:pStyle w:val="2"/>
        <w:rPr>
          <w:sz w:val="32"/>
          <w:szCs w:val="15"/>
        </w:rPr>
      </w:pPr>
      <w:bookmarkStart w:id="12" w:name="_Toc13063"/>
      <w:r>
        <w:rPr>
          <w:rFonts w:hint="eastAsia"/>
          <w:sz w:val="32"/>
          <w:szCs w:val="15"/>
        </w:rPr>
        <w:t xml:space="preserve">第一章 </w:t>
      </w:r>
      <w:bookmarkStart w:id="13" w:name="_Toc28387"/>
      <w:bookmarkStart w:id="14" w:name="_Toc10383"/>
      <w:r>
        <w:rPr>
          <w:rFonts w:hint="eastAsia"/>
          <w:sz w:val="32"/>
          <w:szCs w:val="15"/>
        </w:rPr>
        <w:t>公开招标公告</w:t>
      </w:r>
      <w:bookmarkEnd w:id="8"/>
      <w:bookmarkEnd w:id="9"/>
      <w:bookmarkEnd w:id="10"/>
      <w:bookmarkEnd w:id="11"/>
      <w:bookmarkEnd w:id="12"/>
      <w:bookmarkEnd w:id="13"/>
      <w:bookmarkEnd w:id="14"/>
    </w:p>
    <w:p w14:paraId="2B4E97FD">
      <w:pPr>
        <w:wordWrap w:val="0"/>
        <w:adjustRightInd w:val="0"/>
        <w:snapToGrid w:val="0"/>
        <w:spacing w:before="40" w:after="40" w:line="360" w:lineRule="auto"/>
        <w:ind w:firstLine="422" w:firstLineChars="200"/>
        <w:rPr>
          <w:rFonts w:ascii="宋体" w:hAnsi="宋体"/>
          <w:b/>
          <w:bCs/>
          <w:szCs w:val="21"/>
        </w:rPr>
      </w:pPr>
      <w:bookmarkStart w:id="15" w:name="_Toc32835830"/>
      <w:bookmarkStart w:id="16" w:name="_Toc8392"/>
      <w:bookmarkStart w:id="17" w:name="_Toc430160314"/>
      <w:bookmarkStart w:id="18" w:name="_Toc430160311"/>
      <w:r>
        <w:rPr>
          <w:rFonts w:hint="eastAsia" w:ascii="宋体" w:hAnsi="宋体"/>
          <w:b/>
          <w:bCs/>
          <w:szCs w:val="21"/>
        </w:rPr>
        <w:t>项目概况</w:t>
      </w:r>
    </w:p>
    <w:p w14:paraId="7272C340">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河南省中医院（河南中医药大学第二附属医院）劳务派遣服务采购项目的潜在供应商应在河南省公共资源交易中心网（http://hnsggzyjy.henan.gov.cn/）获取招标文件，并于2025年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日09时00分（北京时间）前递交投标文件。</w:t>
      </w:r>
    </w:p>
    <w:p w14:paraId="2AA711A3">
      <w:pPr>
        <w:wordWrap w:val="0"/>
        <w:adjustRightInd w:val="0"/>
        <w:snapToGrid w:val="0"/>
        <w:spacing w:before="40" w:after="40" w:line="360" w:lineRule="auto"/>
        <w:ind w:firstLine="422" w:firstLineChars="200"/>
        <w:rPr>
          <w:rFonts w:ascii="宋体" w:hAnsi="宋体"/>
          <w:b/>
          <w:bCs/>
          <w:szCs w:val="21"/>
        </w:rPr>
      </w:pPr>
      <w:r>
        <w:rPr>
          <w:rFonts w:hint="eastAsia" w:ascii="宋体" w:hAnsi="宋体"/>
          <w:b/>
          <w:bCs/>
          <w:szCs w:val="21"/>
        </w:rPr>
        <w:t>一、项目基本情况</w:t>
      </w:r>
    </w:p>
    <w:p w14:paraId="77B756B8">
      <w:pPr>
        <w:wordWrap w:val="0"/>
        <w:adjustRightInd w:val="0"/>
        <w:snapToGrid w:val="0"/>
        <w:spacing w:line="360" w:lineRule="auto"/>
        <w:ind w:firstLine="420" w:firstLineChars="200"/>
        <w:rPr>
          <w:rFonts w:hint="eastAsia" w:ascii="宋体" w:hAnsi="宋体" w:eastAsia="宋体"/>
          <w:bCs/>
          <w:szCs w:val="21"/>
          <w:lang w:eastAsia="zh-CN"/>
        </w:rPr>
      </w:pPr>
      <w:r>
        <w:rPr>
          <w:rFonts w:hint="eastAsia" w:ascii="宋体" w:hAnsi="宋体"/>
          <w:bCs/>
          <w:szCs w:val="21"/>
        </w:rPr>
        <w:t>1.项目编号：</w:t>
      </w:r>
      <w:r>
        <w:rPr>
          <w:rFonts w:hint="eastAsia" w:ascii="宋体" w:hAnsi="宋体"/>
          <w:bCs/>
          <w:szCs w:val="21"/>
          <w:lang w:eastAsia="zh-CN"/>
        </w:rPr>
        <w:t>豫财招标采购-2025-418</w:t>
      </w:r>
    </w:p>
    <w:p w14:paraId="5933B999">
      <w:pPr>
        <w:wordWrap w:val="0"/>
        <w:adjustRightInd w:val="0"/>
        <w:snapToGrid w:val="0"/>
        <w:spacing w:line="360" w:lineRule="auto"/>
        <w:ind w:firstLine="420" w:firstLineChars="200"/>
        <w:rPr>
          <w:rFonts w:ascii="宋体" w:hAnsi="宋体"/>
          <w:bCs/>
          <w:szCs w:val="21"/>
        </w:rPr>
      </w:pPr>
      <w:r>
        <w:rPr>
          <w:rFonts w:hint="eastAsia" w:ascii="宋体" w:hAnsi="宋体"/>
          <w:bCs/>
          <w:szCs w:val="21"/>
        </w:rPr>
        <w:t>2.项目名称：河南省中医院（河南中医药大学第二附属医院）劳务派遣服务采购项目</w:t>
      </w:r>
    </w:p>
    <w:p w14:paraId="579376FC">
      <w:pPr>
        <w:wordWrap w:val="0"/>
        <w:adjustRightInd w:val="0"/>
        <w:snapToGrid w:val="0"/>
        <w:spacing w:line="360" w:lineRule="auto"/>
        <w:ind w:firstLine="420" w:firstLineChars="200"/>
        <w:rPr>
          <w:rFonts w:ascii="宋体" w:hAnsi="宋体"/>
        </w:rPr>
      </w:pPr>
      <w:r>
        <w:rPr>
          <w:rFonts w:hint="eastAsia" w:ascii="宋体" w:hAnsi="宋体"/>
        </w:rPr>
        <w:t>3.采购方式：公开招标</w:t>
      </w:r>
    </w:p>
    <w:p w14:paraId="037CD7A8">
      <w:pPr>
        <w:wordWrap w:val="0"/>
        <w:adjustRightInd w:val="0"/>
        <w:snapToGrid w:val="0"/>
        <w:spacing w:line="360" w:lineRule="auto"/>
        <w:ind w:firstLine="420" w:firstLineChars="200"/>
        <w:rPr>
          <w:rFonts w:ascii="宋体" w:hAnsi="宋体"/>
          <w:bCs/>
          <w:szCs w:val="21"/>
        </w:rPr>
      </w:pPr>
      <w:r>
        <w:rPr>
          <w:rFonts w:hint="eastAsia" w:ascii="宋体" w:hAnsi="宋体"/>
          <w:bCs/>
          <w:szCs w:val="21"/>
        </w:rPr>
        <w:t>4.预算金额：</w:t>
      </w:r>
      <w:r>
        <w:rPr>
          <w:rFonts w:hint="eastAsia" w:ascii="宋体" w:hAnsi="宋体" w:cs="宋体"/>
          <w:bCs/>
          <w:szCs w:val="21"/>
        </w:rPr>
        <w:t>7,410,000.00</w:t>
      </w:r>
      <w:r>
        <w:rPr>
          <w:rFonts w:hint="eastAsia" w:ascii="宋体" w:hAnsi="宋体"/>
          <w:bCs/>
          <w:szCs w:val="21"/>
        </w:rPr>
        <w:t>元</w:t>
      </w:r>
    </w:p>
    <w:p w14:paraId="588C16F9">
      <w:pPr>
        <w:wordWrap w:val="0"/>
        <w:adjustRightInd w:val="0"/>
        <w:snapToGrid w:val="0"/>
        <w:spacing w:line="360" w:lineRule="auto"/>
        <w:ind w:firstLine="630" w:firstLineChars="300"/>
        <w:rPr>
          <w:rFonts w:ascii="宋体" w:hAnsi="宋体"/>
          <w:bCs/>
          <w:szCs w:val="21"/>
        </w:rPr>
      </w:pPr>
      <w:r>
        <w:rPr>
          <w:rFonts w:hint="eastAsia" w:ascii="宋体" w:hAnsi="宋体"/>
          <w:bCs/>
          <w:szCs w:val="21"/>
        </w:rPr>
        <w:t>最高限价：</w:t>
      </w:r>
      <w:r>
        <w:rPr>
          <w:rFonts w:hint="eastAsia" w:ascii="宋体" w:hAnsi="宋体"/>
          <w:bCs/>
          <w:szCs w:val="21"/>
          <w:lang w:val="en-US" w:eastAsia="zh-CN"/>
        </w:rPr>
        <w:t>57000</w:t>
      </w:r>
      <w:r>
        <w:rPr>
          <w:rFonts w:hint="eastAsia" w:ascii="宋体" w:hAnsi="宋体"/>
          <w:bCs/>
          <w:szCs w:val="21"/>
        </w:rPr>
        <w:t>元</w:t>
      </w:r>
    </w:p>
    <w:tbl>
      <w:tblPr>
        <w:tblStyle w:val="5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00"/>
        <w:gridCol w:w="2579"/>
        <w:gridCol w:w="1655"/>
        <w:gridCol w:w="1896"/>
      </w:tblGrid>
      <w:tr w14:paraId="7583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8" w:type="dxa"/>
            <w:vAlign w:val="center"/>
          </w:tcPr>
          <w:p w14:paraId="19A290DB">
            <w:pPr>
              <w:tabs>
                <w:tab w:val="left" w:pos="420"/>
              </w:tabs>
              <w:wordWrap w:val="0"/>
              <w:adjustRightInd w:val="0"/>
              <w:snapToGrid w:val="0"/>
              <w:spacing w:line="360" w:lineRule="auto"/>
              <w:jc w:val="center"/>
              <w:rPr>
                <w:rFonts w:ascii="宋体" w:hAnsi="宋体" w:cs="宋体"/>
                <w:bCs/>
                <w:szCs w:val="21"/>
              </w:rPr>
            </w:pPr>
            <w:r>
              <w:rPr>
                <w:rFonts w:hint="eastAsia" w:ascii="宋体" w:hAnsi="宋体" w:cs="宋体"/>
                <w:bCs/>
                <w:szCs w:val="21"/>
              </w:rPr>
              <w:t>序号</w:t>
            </w:r>
          </w:p>
        </w:tc>
        <w:tc>
          <w:tcPr>
            <w:tcW w:w="1700" w:type="dxa"/>
            <w:vAlign w:val="center"/>
          </w:tcPr>
          <w:p w14:paraId="4415CC11">
            <w:pPr>
              <w:tabs>
                <w:tab w:val="left" w:pos="420"/>
              </w:tabs>
              <w:wordWrap w:val="0"/>
              <w:adjustRightInd w:val="0"/>
              <w:snapToGrid w:val="0"/>
              <w:spacing w:line="360" w:lineRule="auto"/>
              <w:jc w:val="center"/>
              <w:rPr>
                <w:rFonts w:ascii="宋体" w:hAnsi="宋体" w:cs="宋体"/>
                <w:bCs/>
                <w:szCs w:val="21"/>
              </w:rPr>
            </w:pPr>
            <w:r>
              <w:rPr>
                <w:rFonts w:hint="eastAsia" w:ascii="宋体" w:hAnsi="宋体" w:cs="宋体"/>
                <w:bCs/>
                <w:szCs w:val="21"/>
              </w:rPr>
              <w:t>包号</w:t>
            </w:r>
          </w:p>
        </w:tc>
        <w:tc>
          <w:tcPr>
            <w:tcW w:w="2579" w:type="dxa"/>
            <w:vAlign w:val="center"/>
          </w:tcPr>
          <w:p w14:paraId="79E3C07C">
            <w:pPr>
              <w:tabs>
                <w:tab w:val="left" w:pos="420"/>
              </w:tabs>
              <w:wordWrap w:val="0"/>
              <w:adjustRightInd w:val="0"/>
              <w:snapToGrid w:val="0"/>
              <w:spacing w:line="360" w:lineRule="auto"/>
              <w:jc w:val="center"/>
              <w:rPr>
                <w:rFonts w:ascii="宋体" w:hAnsi="宋体" w:cs="宋体"/>
                <w:bCs/>
                <w:szCs w:val="21"/>
              </w:rPr>
            </w:pPr>
            <w:r>
              <w:rPr>
                <w:rFonts w:hint="eastAsia" w:ascii="宋体" w:hAnsi="宋体" w:cs="宋体"/>
                <w:bCs/>
                <w:szCs w:val="21"/>
              </w:rPr>
              <w:t>包名称</w:t>
            </w:r>
          </w:p>
        </w:tc>
        <w:tc>
          <w:tcPr>
            <w:tcW w:w="1655" w:type="dxa"/>
            <w:vAlign w:val="center"/>
          </w:tcPr>
          <w:p w14:paraId="54271549">
            <w:pPr>
              <w:tabs>
                <w:tab w:val="left" w:pos="420"/>
              </w:tabs>
              <w:wordWrap w:val="0"/>
              <w:adjustRightInd w:val="0"/>
              <w:snapToGrid w:val="0"/>
              <w:spacing w:line="360" w:lineRule="auto"/>
              <w:jc w:val="center"/>
              <w:rPr>
                <w:rFonts w:ascii="宋体" w:hAnsi="宋体" w:cs="宋体"/>
                <w:bCs/>
                <w:szCs w:val="21"/>
              </w:rPr>
            </w:pPr>
            <w:r>
              <w:rPr>
                <w:rFonts w:hint="eastAsia" w:ascii="宋体" w:hAnsi="宋体" w:cs="宋体"/>
                <w:bCs/>
                <w:szCs w:val="21"/>
              </w:rPr>
              <w:t>包预算（元）</w:t>
            </w:r>
          </w:p>
        </w:tc>
        <w:tc>
          <w:tcPr>
            <w:tcW w:w="1896" w:type="dxa"/>
            <w:vAlign w:val="center"/>
          </w:tcPr>
          <w:p w14:paraId="00B1B96E">
            <w:pPr>
              <w:tabs>
                <w:tab w:val="left" w:pos="420"/>
              </w:tabs>
              <w:wordWrap w:val="0"/>
              <w:adjustRightInd w:val="0"/>
              <w:snapToGrid w:val="0"/>
              <w:spacing w:line="360" w:lineRule="auto"/>
              <w:jc w:val="center"/>
              <w:rPr>
                <w:rFonts w:ascii="宋体" w:hAnsi="宋体" w:cs="宋体"/>
                <w:bCs/>
                <w:szCs w:val="21"/>
              </w:rPr>
            </w:pPr>
            <w:r>
              <w:rPr>
                <w:rFonts w:hint="eastAsia" w:ascii="宋体" w:hAnsi="宋体" w:cs="宋体"/>
                <w:bCs/>
                <w:szCs w:val="21"/>
              </w:rPr>
              <w:t>包最高限价（元）</w:t>
            </w:r>
          </w:p>
        </w:tc>
      </w:tr>
      <w:tr w14:paraId="17D9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8" w:type="dxa"/>
            <w:vAlign w:val="center"/>
          </w:tcPr>
          <w:p w14:paraId="145CC878">
            <w:pPr>
              <w:tabs>
                <w:tab w:val="left" w:pos="420"/>
              </w:tabs>
              <w:wordWrap w:val="0"/>
              <w:adjustRightInd w:val="0"/>
              <w:snapToGrid w:val="0"/>
              <w:spacing w:line="360" w:lineRule="auto"/>
              <w:jc w:val="center"/>
              <w:rPr>
                <w:rFonts w:ascii="宋体" w:hAnsi="宋体" w:cs="宋体"/>
                <w:bCs/>
                <w:szCs w:val="21"/>
              </w:rPr>
            </w:pPr>
            <w:r>
              <w:rPr>
                <w:rFonts w:hint="eastAsia" w:ascii="宋体" w:hAnsi="宋体" w:cs="宋体"/>
                <w:bCs/>
                <w:szCs w:val="21"/>
              </w:rPr>
              <w:t>1</w:t>
            </w:r>
          </w:p>
        </w:tc>
        <w:tc>
          <w:tcPr>
            <w:tcW w:w="1700" w:type="dxa"/>
            <w:vAlign w:val="center"/>
          </w:tcPr>
          <w:p w14:paraId="60B4BE43">
            <w:pPr>
              <w:tabs>
                <w:tab w:val="left" w:pos="420"/>
              </w:tabs>
              <w:wordWrap w:val="0"/>
              <w:adjustRightInd w:val="0"/>
              <w:snapToGrid w:val="0"/>
              <w:spacing w:line="360" w:lineRule="auto"/>
              <w:jc w:val="center"/>
              <w:rPr>
                <w:rFonts w:ascii="宋体" w:hAnsi="宋体" w:cs="宋体"/>
                <w:bCs/>
                <w:szCs w:val="21"/>
                <w:highlight w:val="yellow"/>
              </w:rPr>
            </w:pPr>
            <w:r>
              <w:rPr>
                <w:rFonts w:hint="default" w:ascii="宋体" w:hAnsi="宋体"/>
                <w:bCs/>
                <w:szCs w:val="21"/>
              </w:rPr>
              <w:t>豫政采(2)20250557-1</w:t>
            </w:r>
          </w:p>
        </w:tc>
        <w:tc>
          <w:tcPr>
            <w:tcW w:w="2579" w:type="dxa"/>
            <w:vAlign w:val="center"/>
          </w:tcPr>
          <w:p w14:paraId="1F7DFB33">
            <w:pPr>
              <w:tabs>
                <w:tab w:val="left" w:pos="420"/>
              </w:tabs>
              <w:wordWrap w:val="0"/>
              <w:adjustRightInd w:val="0"/>
              <w:snapToGrid w:val="0"/>
              <w:spacing w:line="360" w:lineRule="auto"/>
              <w:jc w:val="center"/>
              <w:rPr>
                <w:rFonts w:ascii="宋体" w:hAnsi="宋体" w:cs="宋体"/>
                <w:bCs/>
                <w:szCs w:val="21"/>
              </w:rPr>
            </w:pPr>
            <w:r>
              <w:rPr>
                <w:rFonts w:hint="eastAsia" w:ascii="宋体" w:hAnsi="宋体"/>
                <w:bCs/>
                <w:szCs w:val="21"/>
              </w:rPr>
              <w:t>河南省中医院（河南中医药大学第二附属医院）劳务派遣服务采购项目</w:t>
            </w:r>
          </w:p>
        </w:tc>
        <w:tc>
          <w:tcPr>
            <w:tcW w:w="1655" w:type="dxa"/>
            <w:vAlign w:val="center"/>
          </w:tcPr>
          <w:p w14:paraId="0BD7E130">
            <w:pPr>
              <w:wordWrap w:val="0"/>
              <w:adjustRightInd w:val="0"/>
              <w:snapToGrid w:val="0"/>
              <w:spacing w:line="360" w:lineRule="auto"/>
              <w:jc w:val="center"/>
              <w:rPr>
                <w:rFonts w:ascii="宋体" w:hAnsi="宋体" w:cs="宋体"/>
                <w:bCs/>
                <w:szCs w:val="21"/>
              </w:rPr>
            </w:pPr>
            <w:r>
              <w:rPr>
                <w:rFonts w:hint="eastAsia" w:ascii="宋体" w:hAnsi="宋体" w:cs="宋体"/>
                <w:bCs/>
                <w:szCs w:val="21"/>
              </w:rPr>
              <w:t>7410000</w:t>
            </w:r>
          </w:p>
        </w:tc>
        <w:tc>
          <w:tcPr>
            <w:tcW w:w="1896" w:type="dxa"/>
            <w:vAlign w:val="center"/>
          </w:tcPr>
          <w:p w14:paraId="24E4786F">
            <w:pPr>
              <w:wordWrap w:val="0"/>
              <w:adjustRightInd w:val="0"/>
              <w:snapToGrid w:val="0"/>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57000</w:t>
            </w:r>
          </w:p>
        </w:tc>
      </w:tr>
    </w:tbl>
    <w:p w14:paraId="4B0EC39D">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5.采购需求：（包括但不限于标的的名称、数量、简要技术需求或服务要求等）</w:t>
      </w:r>
    </w:p>
    <w:p w14:paraId="6FA553BF">
      <w:pPr>
        <w:tabs>
          <w:tab w:val="left" w:pos="312"/>
        </w:tabs>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5.1采购内容：本项目为采购一家符合要求的供应商，为采购人提供劳务派遣服务，派遣人员主要从事医护助理、导诊、数据录入、推拿按摩、物资转运、工勤技能等辅助性岗位工作，预计需劳务派遣人员95人（最终服务岗位及人员数量以实际派遣情况为准）；</w:t>
      </w:r>
    </w:p>
    <w:p w14:paraId="2D337F17">
      <w:pPr>
        <w:tabs>
          <w:tab w:val="left" w:pos="312"/>
        </w:tabs>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5.2服务质量：满足</w:t>
      </w:r>
      <w:r>
        <w:rPr>
          <w:rFonts w:hint="eastAsia" w:ascii="宋体" w:hAnsi="宋体"/>
          <w:szCs w:val="21"/>
        </w:rPr>
        <w:t>采购人要求</w:t>
      </w:r>
      <w:r>
        <w:rPr>
          <w:rFonts w:hint="eastAsia" w:ascii="宋体" w:hAnsi="宋体"/>
          <w:bCs/>
          <w:szCs w:val="21"/>
        </w:rPr>
        <w:t xml:space="preserve">； </w:t>
      </w:r>
    </w:p>
    <w:p w14:paraId="66889C13">
      <w:pPr>
        <w:tabs>
          <w:tab w:val="left" w:pos="312"/>
        </w:tabs>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 xml:space="preserve">5.3服务期限：三年，合同一年一签，须经考核合格后签订次年合同； </w:t>
      </w:r>
    </w:p>
    <w:p w14:paraId="301156B8">
      <w:pPr>
        <w:tabs>
          <w:tab w:val="left" w:pos="312"/>
        </w:tabs>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 xml:space="preserve">5.4服务地点：河南省郑州市（采购人指定地点）； </w:t>
      </w:r>
    </w:p>
    <w:p w14:paraId="798DF01D">
      <w:pPr>
        <w:tabs>
          <w:tab w:val="left" w:pos="312"/>
        </w:tabs>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5.5包划分：</w:t>
      </w:r>
      <w:r>
        <w:rPr>
          <w:rFonts w:ascii="宋体" w:hAnsi="宋体" w:cs="宋体"/>
          <w:spacing w:val="-3"/>
          <w:szCs w:val="21"/>
        </w:rPr>
        <w:t>本项目共一个包</w:t>
      </w:r>
      <w:r>
        <w:rPr>
          <w:rFonts w:hint="eastAsia" w:ascii="宋体" w:hAnsi="宋体"/>
          <w:bCs/>
          <w:szCs w:val="21"/>
        </w:rPr>
        <w:t>。</w:t>
      </w:r>
    </w:p>
    <w:p w14:paraId="631BD06C">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6.合同履行期限：按照合同约定执行。</w:t>
      </w:r>
    </w:p>
    <w:p w14:paraId="798BD03F">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7.本项目是否接受联合体投标：否。</w:t>
      </w:r>
    </w:p>
    <w:p w14:paraId="450CD88C">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8.是否接受进口产品：否。</w:t>
      </w:r>
    </w:p>
    <w:p w14:paraId="024918EE">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9.是否专门面向中小企业：否。</w:t>
      </w:r>
    </w:p>
    <w:p w14:paraId="0DF71EEC">
      <w:pPr>
        <w:wordWrap w:val="0"/>
        <w:adjustRightInd w:val="0"/>
        <w:snapToGrid w:val="0"/>
        <w:spacing w:before="40" w:after="40" w:line="360" w:lineRule="auto"/>
        <w:ind w:firstLine="422" w:firstLineChars="200"/>
        <w:rPr>
          <w:rFonts w:ascii="宋体" w:hAnsi="宋体"/>
          <w:b/>
          <w:bCs/>
          <w:szCs w:val="21"/>
        </w:rPr>
      </w:pPr>
      <w:bookmarkStart w:id="19" w:name="_Toc28359003"/>
      <w:bookmarkStart w:id="20" w:name="_Toc28359080"/>
      <w:bookmarkStart w:id="21" w:name="_Toc35393791"/>
      <w:bookmarkStart w:id="22" w:name="_Toc35393622"/>
      <w:r>
        <w:rPr>
          <w:rFonts w:hint="eastAsia" w:ascii="宋体" w:hAnsi="宋体"/>
          <w:b/>
          <w:bCs/>
          <w:szCs w:val="21"/>
        </w:rPr>
        <w:t>二、申请人的资格要求</w:t>
      </w:r>
      <w:bookmarkEnd w:id="19"/>
      <w:bookmarkEnd w:id="20"/>
      <w:bookmarkEnd w:id="21"/>
      <w:bookmarkEnd w:id="22"/>
    </w:p>
    <w:p w14:paraId="53F6599F">
      <w:pPr>
        <w:wordWrap w:val="0"/>
        <w:adjustRightInd w:val="0"/>
        <w:snapToGrid w:val="0"/>
        <w:spacing w:before="40" w:after="40" w:line="360" w:lineRule="auto"/>
        <w:ind w:firstLine="420" w:firstLineChars="200"/>
        <w:rPr>
          <w:rFonts w:ascii="宋体" w:hAnsi="宋体"/>
          <w:bCs/>
          <w:szCs w:val="21"/>
        </w:rPr>
      </w:pPr>
      <w:bookmarkStart w:id="23" w:name="_Toc35393792"/>
      <w:bookmarkStart w:id="24" w:name="_Toc28359081"/>
      <w:bookmarkStart w:id="25" w:name="_Toc35393623"/>
      <w:bookmarkStart w:id="26" w:name="_Toc28359004"/>
      <w:r>
        <w:rPr>
          <w:rFonts w:hint="eastAsia" w:ascii="宋体" w:hAnsi="宋体"/>
          <w:bCs/>
          <w:szCs w:val="21"/>
        </w:rPr>
        <w:t>1.满足《中华人民共和国政府采购法》第二十二条规定；</w:t>
      </w:r>
    </w:p>
    <w:p w14:paraId="22D9C02D">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2.落实政府采购政策需满足的资格要求：/</w:t>
      </w:r>
    </w:p>
    <w:p w14:paraId="73B6D6D5">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3.本项目的特定资格要求：</w:t>
      </w:r>
    </w:p>
    <w:p w14:paraId="08F039B5">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3.1 投标人须具有主管部门颁发的有效的《劳务派遣经营许可证》、《人力资源服务许可证》；</w:t>
      </w:r>
    </w:p>
    <w:p w14:paraId="6458AAC8">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3.2本项目提交投标文件截止时间前被“信用中国”网站列入失信被执行人和重大税收违法失信主体的、被“中国政府采购网”网站列入政府采购严重违法失信行为记录名单（处罚期限尚未届满的），不得参与本项目的采购活动；招标人或招标代理机构将在开标当日资格审查结束前通过以下渠道对各供应商信用记录进行查询,信用信息查询记录及相关证据与其他采购文件一并保存。（失信被执行人查询渠道：“中国执行信息公开网”网站；重大税收违法失信主体查询渠道：“信用中国”网站；政府采购严重违法失信行为查询渠道：“中国政府采购网”）；</w:t>
      </w:r>
    </w:p>
    <w:p w14:paraId="198D9776">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3.</w:t>
      </w:r>
      <w:r>
        <w:rPr>
          <w:rFonts w:hint="eastAsia" w:ascii="宋体" w:hAnsi="宋体"/>
          <w:bCs/>
          <w:szCs w:val="21"/>
          <w:lang w:val="en-US" w:eastAsia="zh-CN"/>
        </w:rPr>
        <w:t>3</w:t>
      </w:r>
      <w:r>
        <w:rPr>
          <w:rFonts w:hint="eastAsia" w:ascii="宋体" w:hAnsi="宋体"/>
          <w:bCs/>
          <w:szCs w:val="21"/>
        </w:rPr>
        <w:t>单位负责人为同一人或者存在直接控股、管理关系的不同供应商，不得参加同一合同项下的政府采购活动。</w:t>
      </w:r>
    </w:p>
    <w:p w14:paraId="28F2B0F9">
      <w:pPr>
        <w:wordWrap w:val="0"/>
        <w:adjustRightInd w:val="0"/>
        <w:snapToGrid w:val="0"/>
        <w:spacing w:before="40" w:after="40" w:line="360" w:lineRule="auto"/>
        <w:ind w:firstLine="422" w:firstLineChars="200"/>
        <w:rPr>
          <w:rFonts w:ascii="宋体" w:hAnsi="宋体"/>
          <w:b/>
          <w:bCs/>
          <w:szCs w:val="21"/>
        </w:rPr>
      </w:pPr>
      <w:r>
        <w:rPr>
          <w:rFonts w:hint="eastAsia" w:ascii="宋体" w:hAnsi="宋体"/>
          <w:b/>
          <w:bCs/>
          <w:szCs w:val="21"/>
        </w:rPr>
        <w:t>三、获取招标文件</w:t>
      </w:r>
      <w:bookmarkEnd w:id="23"/>
      <w:bookmarkEnd w:id="24"/>
      <w:bookmarkEnd w:id="25"/>
      <w:bookmarkEnd w:id="26"/>
    </w:p>
    <w:p w14:paraId="056D60A2">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1.时间：2025年</w:t>
      </w:r>
      <w:r>
        <w:rPr>
          <w:rFonts w:hint="eastAsia" w:ascii="宋体" w:hAnsi="宋体"/>
          <w:bCs/>
          <w:szCs w:val="21"/>
          <w:lang w:val="en-US" w:eastAsia="zh-CN"/>
        </w:rPr>
        <w:t>5</w:t>
      </w:r>
      <w:r>
        <w:rPr>
          <w:rFonts w:hint="eastAsia" w:ascii="宋体" w:hAnsi="宋体"/>
          <w:bCs/>
          <w:szCs w:val="21"/>
        </w:rPr>
        <w:t>月</w:t>
      </w:r>
      <w:r>
        <w:rPr>
          <w:rFonts w:hint="eastAsia" w:ascii="宋体" w:hAnsi="宋体"/>
          <w:bCs/>
          <w:szCs w:val="21"/>
          <w:lang w:val="en-US" w:eastAsia="zh-CN"/>
        </w:rPr>
        <w:t>19</w:t>
      </w:r>
      <w:r>
        <w:rPr>
          <w:rFonts w:hint="eastAsia" w:ascii="宋体" w:hAnsi="宋体"/>
          <w:bCs/>
          <w:szCs w:val="21"/>
        </w:rPr>
        <w:t>日至2025年</w:t>
      </w:r>
      <w:r>
        <w:rPr>
          <w:rFonts w:hint="eastAsia" w:ascii="宋体" w:hAnsi="宋体"/>
          <w:bCs/>
          <w:szCs w:val="21"/>
          <w:lang w:val="en-US" w:eastAsia="zh-CN"/>
        </w:rPr>
        <w:t>5</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日，每天上午0：00至12:00，下午12:00至23:59（北京时间，法定节假日除外）</w:t>
      </w:r>
    </w:p>
    <w:p w14:paraId="197C23FD">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2.地点：河南省公共资源交易中心网站（http://hnsggzyjy.henan.gov.cn/）；</w:t>
      </w:r>
    </w:p>
    <w:p w14:paraId="4CEE6421">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3.方式：市场主体需要完成CA数字证书办理，凭CA密钥登陆河南省公共资源交易中心系统并在规定时间内按网上提示下载招标文件，获取招标文件后，供应商请到河南省公共资源交易中心网站下载最新版本的投标文件制作工具安装包，并使用安装后的最新版本投标文件制作工具制作电子投标文件。</w:t>
      </w:r>
    </w:p>
    <w:p w14:paraId="7A006DEB">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4.售价：0元</w:t>
      </w:r>
    </w:p>
    <w:p w14:paraId="0C140DAE">
      <w:pPr>
        <w:wordWrap w:val="0"/>
        <w:adjustRightInd w:val="0"/>
        <w:snapToGrid w:val="0"/>
        <w:spacing w:before="40" w:after="40" w:line="360" w:lineRule="auto"/>
        <w:ind w:firstLine="422" w:firstLineChars="200"/>
        <w:rPr>
          <w:rFonts w:ascii="宋体" w:hAnsi="宋体"/>
          <w:b/>
          <w:bCs/>
          <w:szCs w:val="21"/>
        </w:rPr>
      </w:pPr>
      <w:bookmarkStart w:id="27" w:name="_Toc35393624"/>
      <w:bookmarkStart w:id="28" w:name="_Toc28359005"/>
      <w:bookmarkStart w:id="29" w:name="_Toc35393793"/>
      <w:bookmarkStart w:id="30" w:name="_Toc28359082"/>
      <w:r>
        <w:rPr>
          <w:rFonts w:hint="eastAsia" w:ascii="宋体" w:hAnsi="宋体"/>
          <w:b/>
          <w:bCs/>
          <w:szCs w:val="21"/>
        </w:rPr>
        <w:t>四、</w:t>
      </w:r>
      <w:bookmarkEnd w:id="27"/>
      <w:bookmarkEnd w:id="28"/>
      <w:bookmarkEnd w:id="29"/>
      <w:bookmarkEnd w:id="30"/>
      <w:r>
        <w:rPr>
          <w:rFonts w:hint="eastAsia" w:ascii="宋体" w:hAnsi="宋体"/>
          <w:b/>
          <w:bCs/>
          <w:szCs w:val="21"/>
        </w:rPr>
        <w:t>投标截止时间及地点</w:t>
      </w:r>
    </w:p>
    <w:p w14:paraId="4E061E47">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1.时间：2025年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日9时00分(北京时间)</w:t>
      </w:r>
    </w:p>
    <w:p w14:paraId="1B4711B4">
      <w:pPr>
        <w:wordWrap w:val="0"/>
        <w:adjustRightInd w:val="0"/>
        <w:snapToGrid w:val="0"/>
        <w:spacing w:before="40" w:after="40" w:line="360" w:lineRule="auto"/>
        <w:ind w:firstLine="420" w:firstLineChars="200"/>
        <w:rPr>
          <w:rFonts w:ascii="宋体" w:hAnsi="宋体"/>
          <w:b/>
          <w:bCs/>
          <w:szCs w:val="21"/>
        </w:rPr>
      </w:pPr>
      <w:bookmarkStart w:id="31" w:name="_Toc9920"/>
      <w:r>
        <w:rPr>
          <w:rFonts w:hint="eastAsia" w:ascii="宋体" w:hAnsi="宋体"/>
          <w:bCs/>
          <w:szCs w:val="21"/>
        </w:rPr>
        <w:t>2.地点：上传至河南省公共资源交易中心交易系统指定位置，加密投标文件逾期上传，采购人不予受理。</w:t>
      </w:r>
      <w:bookmarkEnd w:id="31"/>
    </w:p>
    <w:p w14:paraId="7CB22C14">
      <w:pPr>
        <w:wordWrap w:val="0"/>
        <w:adjustRightInd w:val="0"/>
        <w:snapToGrid w:val="0"/>
        <w:spacing w:before="40" w:after="40" w:line="360" w:lineRule="auto"/>
        <w:ind w:firstLine="422" w:firstLineChars="200"/>
        <w:rPr>
          <w:rFonts w:ascii="宋体" w:hAnsi="宋体"/>
          <w:b/>
          <w:bCs/>
          <w:szCs w:val="21"/>
        </w:rPr>
      </w:pPr>
      <w:bookmarkStart w:id="32" w:name="_Toc5817"/>
      <w:r>
        <w:rPr>
          <w:rFonts w:hint="eastAsia" w:ascii="宋体" w:hAnsi="宋体"/>
          <w:b/>
          <w:bCs/>
          <w:szCs w:val="21"/>
        </w:rPr>
        <w:t>五、开标时间及地点</w:t>
      </w:r>
      <w:bookmarkEnd w:id="32"/>
    </w:p>
    <w:p w14:paraId="6C5EC847">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1.时间：2025年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日9时00分(北京时间)</w:t>
      </w:r>
    </w:p>
    <w:p w14:paraId="10442457">
      <w:pPr>
        <w:wordWrap w:val="0"/>
        <w:adjustRightInd w:val="0"/>
        <w:snapToGrid w:val="0"/>
        <w:spacing w:before="40" w:after="40" w:line="360" w:lineRule="auto"/>
        <w:ind w:firstLine="420" w:firstLineChars="200"/>
        <w:rPr>
          <w:rFonts w:ascii="宋体" w:hAnsi="宋体"/>
          <w:bCs/>
          <w:szCs w:val="21"/>
        </w:rPr>
      </w:pPr>
      <w:bookmarkStart w:id="33" w:name="_Toc24610"/>
      <w:r>
        <w:rPr>
          <w:rFonts w:hint="eastAsia" w:ascii="宋体" w:hAnsi="宋体"/>
          <w:bCs/>
          <w:szCs w:val="21"/>
        </w:rPr>
        <w:t>2.地点：河南省公共资源交易中心</w:t>
      </w:r>
      <w:bookmarkEnd w:id="33"/>
      <w:r>
        <w:rPr>
          <w:rFonts w:hint="eastAsia" w:ascii="宋体" w:hAnsi="宋体"/>
          <w:bCs/>
          <w:szCs w:val="21"/>
        </w:rPr>
        <w:t>远程开标室(</w:t>
      </w:r>
      <w:r>
        <w:rPr>
          <w:rFonts w:hint="eastAsia" w:ascii="宋体" w:hAnsi="宋体"/>
          <w:bCs/>
          <w:szCs w:val="21"/>
          <w:lang w:eastAsia="zh-CN"/>
        </w:rPr>
        <w:t>三</w:t>
      </w:r>
      <w:r>
        <w:rPr>
          <w:rFonts w:hint="eastAsia" w:ascii="宋体" w:hAnsi="宋体"/>
          <w:bCs/>
          <w:szCs w:val="21"/>
        </w:rPr>
        <w:t>)-</w:t>
      </w:r>
      <w:r>
        <w:rPr>
          <w:rFonts w:hint="eastAsia" w:ascii="宋体" w:hAnsi="宋体"/>
          <w:bCs/>
          <w:szCs w:val="21"/>
          <w:lang w:val="en-US" w:eastAsia="zh-CN"/>
        </w:rPr>
        <w:t>5</w:t>
      </w:r>
      <w:r>
        <w:rPr>
          <w:rFonts w:hint="eastAsia" w:ascii="宋体" w:hAnsi="宋体"/>
          <w:bCs/>
          <w:szCs w:val="21"/>
        </w:rPr>
        <w:t>（郑州市经二路12号，经二路与纬四路向南50米路西）</w:t>
      </w:r>
    </w:p>
    <w:p w14:paraId="788F248E">
      <w:pPr>
        <w:wordWrap w:val="0"/>
        <w:adjustRightInd w:val="0"/>
        <w:snapToGrid w:val="0"/>
        <w:spacing w:before="40" w:after="40" w:line="360" w:lineRule="auto"/>
        <w:ind w:firstLine="422" w:firstLineChars="200"/>
        <w:rPr>
          <w:rFonts w:ascii="宋体" w:hAnsi="宋体"/>
          <w:b/>
          <w:bCs/>
          <w:szCs w:val="21"/>
        </w:rPr>
      </w:pPr>
      <w:bookmarkStart w:id="34" w:name="_Toc28359084"/>
      <w:bookmarkStart w:id="35" w:name="_Toc35393794"/>
      <w:bookmarkStart w:id="36" w:name="_Toc35393625"/>
      <w:bookmarkStart w:id="37" w:name="_Toc28359007"/>
      <w:r>
        <w:rPr>
          <w:rFonts w:hint="eastAsia" w:ascii="宋体" w:hAnsi="宋体"/>
          <w:b/>
          <w:bCs/>
          <w:szCs w:val="21"/>
        </w:rPr>
        <w:t>六、</w:t>
      </w:r>
      <w:bookmarkEnd w:id="34"/>
      <w:bookmarkEnd w:id="35"/>
      <w:bookmarkEnd w:id="36"/>
      <w:bookmarkEnd w:id="37"/>
      <w:r>
        <w:rPr>
          <w:rFonts w:hint="eastAsia" w:ascii="宋体" w:hAnsi="宋体"/>
          <w:b/>
          <w:bCs/>
          <w:szCs w:val="21"/>
        </w:rPr>
        <w:t>发布公告的媒介及招标公告期限</w:t>
      </w:r>
    </w:p>
    <w:p w14:paraId="643D9902">
      <w:pPr>
        <w:wordWrap w:val="0"/>
        <w:adjustRightInd w:val="0"/>
        <w:snapToGrid w:val="0"/>
        <w:spacing w:before="40" w:after="40" w:line="360" w:lineRule="auto"/>
        <w:ind w:firstLine="420" w:firstLineChars="200"/>
        <w:rPr>
          <w:rFonts w:ascii="宋体" w:hAnsi="宋体"/>
          <w:b/>
          <w:bCs/>
          <w:szCs w:val="21"/>
        </w:rPr>
      </w:pPr>
      <w:r>
        <w:rPr>
          <w:rFonts w:hint="eastAsia" w:ascii="宋体" w:hAnsi="宋体"/>
          <w:bCs/>
          <w:szCs w:val="21"/>
        </w:rPr>
        <w:t>本次招标公告在</w:t>
      </w:r>
      <w:bookmarkStart w:id="38" w:name="_Toc35393795"/>
      <w:bookmarkStart w:id="39" w:name="_Toc35393626"/>
      <w:r>
        <w:rPr>
          <w:rFonts w:hint="eastAsia" w:ascii="宋体" w:hAnsi="宋体"/>
          <w:bCs/>
          <w:szCs w:val="21"/>
        </w:rPr>
        <w:t>《河南省政府采购网》《河南省公共资源交易中心》《河南省电子招标投标公共服务平台》《中国招标投标公共服务平台》上发布。</w:t>
      </w:r>
      <w:bookmarkStart w:id="250" w:name="_GoBack"/>
      <w:bookmarkEnd w:id="250"/>
      <w:r>
        <w:rPr>
          <w:rFonts w:hint="eastAsia" w:ascii="宋体" w:hAnsi="宋体"/>
          <w:bCs/>
          <w:szCs w:val="21"/>
        </w:rPr>
        <w:t>招标公告期限为五个工作日。</w:t>
      </w:r>
    </w:p>
    <w:p w14:paraId="0831BE66">
      <w:pPr>
        <w:wordWrap w:val="0"/>
        <w:adjustRightInd w:val="0"/>
        <w:snapToGrid w:val="0"/>
        <w:spacing w:before="40" w:after="40" w:line="360" w:lineRule="auto"/>
        <w:ind w:firstLine="422" w:firstLineChars="200"/>
        <w:rPr>
          <w:rFonts w:ascii="宋体" w:hAnsi="宋体"/>
          <w:b/>
          <w:bCs/>
          <w:szCs w:val="21"/>
        </w:rPr>
      </w:pPr>
      <w:r>
        <w:rPr>
          <w:rFonts w:hint="eastAsia" w:ascii="宋体" w:hAnsi="宋体"/>
          <w:b/>
          <w:bCs/>
          <w:szCs w:val="21"/>
        </w:rPr>
        <w:t>七、其他补充事宜</w:t>
      </w:r>
      <w:bookmarkEnd w:id="38"/>
      <w:bookmarkEnd w:id="39"/>
    </w:p>
    <w:p w14:paraId="2913BCE2">
      <w:pPr>
        <w:wordWrap w:val="0"/>
        <w:adjustRightInd w:val="0"/>
        <w:snapToGrid w:val="0"/>
        <w:spacing w:before="40" w:after="40" w:line="360" w:lineRule="auto"/>
        <w:ind w:firstLine="420" w:firstLineChars="200"/>
        <w:rPr>
          <w:rFonts w:ascii="宋体" w:hAnsi="宋体"/>
          <w:bCs/>
          <w:szCs w:val="21"/>
        </w:rPr>
      </w:pPr>
      <w:bookmarkStart w:id="40" w:name="_Toc28359008"/>
      <w:bookmarkStart w:id="41" w:name="_Toc35393796"/>
      <w:bookmarkStart w:id="42" w:name="_Toc28359085"/>
      <w:bookmarkStart w:id="43" w:name="_Toc35393627"/>
      <w:r>
        <w:rPr>
          <w:rFonts w:hint="eastAsia" w:ascii="宋体" w:hAnsi="宋体"/>
          <w:bCs/>
          <w:szCs w:val="21"/>
        </w:rPr>
        <w:t>1.本项目采购标的对应的中小企业划分标准所属行业：</w:t>
      </w:r>
      <w:r>
        <w:rPr>
          <w:rFonts w:hint="eastAsia" w:ascii="宋体" w:hAnsi="宋体"/>
          <w:b/>
          <w:szCs w:val="21"/>
          <w:u w:val="single"/>
        </w:rPr>
        <w:t>租赁和商务服务业</w:t>
      </w:r>
      <w:r>
        <w:rPr>
          <w:rFonts w:hint="eastAsia" w:ascii="宋体" w:hAnsi="宋体"/>
          <w:bCs/>
          <w:szCs w:val="21"/>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 号）规定的划分标准为依据（符合中小企业划分标准的个体工商户，在政府采购活动中视同中小企业）</w:t>
      </w:r>
    </w:p>
    <w:p w14:paraId="014A2E1B">
      <w:pPr>
        <w:wordWrap w:val="0"/>
        <w:adjustRightInd w:val="0"/>
        <w:snapToGrid w:val="0"/>
        <w:spacing w:before="40" w:after="40" w:line="360" w:lineRule="auto"/>
        <w:ind w:firstLine="420" w:firstLineChars="200"/>
        <w:rPr>
          <w:rFonts w:hint="eastAsia" w:ascii="宋体" w:hAnsi="宋体"/>
          <w:bCs/>
          <w:szCs w:val="21"/>
        </w:rPr>
      </w:pPr>
      <w:r>
        <w:rPr>
          <w:rFonts w:hint="eastAsia" w:ascii="宋体" w:hAnsi="宋体"/>
          <w:bCs/>
          <w:szCs w:val="21"/>
        </w:rPr>
        <w:t>2.本项目支持河南省政府采购合同融资政策，详见第二章供应商须知前附表中《河南省政府采购合同融资政策告知函》。</w:t>
      </w:r>
    </w:p>
    <w:p w14:paraId="5A1310F6">
      <w:pPr>
        <w:wordWrap w:val="0"/>
        <w:adjustRightInd w:val="0"/>
        <w:snapToGrid w:val="0"/>
        <w:spacing w:before="40" w:after="40" w:line="360" w:lineRule="auto"/>
        <w:ind w:firstLine="422" w:firstLineChars="200"/>
        <w:rPr>
          <w:rFonts w:hint="default" w:ascii="宋体" w:hAnsi="宋体" w:eastAsia="宋体"/>
          <w:b/>
          <w:bCs w:val="0"/>
          <w:szCs w:val="21"/>
          <w:lang w:val="en-US" w:eastAsia="zh-CN"/>
        </w:rPr>
      </w:pPr>
      <w:r>
        <w:rPr>
          <w:rFonts w:hint="eastAsia" w:ascii="宋体" w:hAnsi="宋体"/>
          <w:b/>
          <w:bCs w:val="0"/>
          <w:szCs w:val="21"/>
          <w:lang w:val="en-US" w:eastAsia="zh-CN"/>
        </w:rPr>
        <w:t>3.本项目一年服务期采购预算为741万元，分为不列入招标竞价费用（含聘用劳务派遣人员的薪酬、社保、体检、工会福利等）和服务管理费，服务管理费最高投标限价为57000元/年。</w:t>
      </w:r>
    </w:p>
    <w:p w14:paraId="6BF1C17D">
      <w:pPr>
        <w:wordWrap w:val="0"/>
        <w:adjustRightInd w:val="0"/>
        <w:snapToGrid w:val="0"/>
        <w:spacing w:before="40" w:after="40" w:line="360" w:lineRule="auto"/>
        <w:ind w:firstLine="422" w:firstLineChars="200"/>
        <w:rPr>
          <w:rFonts w:ascii="宋体" w:hAnsi="宋体"/>
          <w:b/>
          <w:bCs/>
          <w:szCs w:val="21"/>
        </w:rPr>
      </w:pPr>
      <w:r>
        <w:rPr>
          <w:rFonts w:hint="eastAsia" w:ascii="宋体" w:hAnsi="宋体"/>
          <w:b/>
          <w:bCs/>
          <w:szCs w:val="21"/>
        </w:rPr>
        <w:t>八、凡对本次招标提出询问，请按以下方式联系</w:t>
      </w:r>
      <w:bookmarkEnd w:id="40"/>
      <w:bookmarkEnd w:id="41"/>
      <w:bookmarkEnd w:id="42"/>
      <w:bookmarkEnd w:id="43"/>
    </w:p>
    <w:p w14:paraId="16A5E6A3">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1.采购人信息</w:t>
      </w:r>
    </w:p>
    <w:p w14:paraId="3904B89D">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名称：河南省中医院（河南中医药大学第二附属医院）</w:t>
      </w:r>
    </w:p>
    <w:p w14:paraId="327F710E">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地址：郑州市东风路6号</w:t>
      </w:r>
    </w:p>
    <w:p w14:paraId="10003617">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联系人：王老师</w:t>
      </w:r>
    </w:p>
    <w:p w14:paraId="4D4FBF47">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电话：0371-53312426</w:t>
      </w:r>
    </w:p>
    <w:p w14:paraId="4BF603C4">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2.采购代理机构：中建山河建设管理集团有限公司</w:t>
      </w:r>
    </w:p>
    <w:p w14:paraId="30415797">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地址：郑州市郑东新区七里河南路与圃田西路交叉口明亮集团大楼三楼312室</w:t>
      </w:r>
    </w:p>
    <w:p w14:paraId="67196C55">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联系人：王朝艳、程萌</w:t>
      </w:r>
    </w:p>
    <w:p w14:paraId="780CFCBF">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联系方式：0371-86556161、15839171848</w:t>
      </w:r>
    </w:p>
    <w:p w14:paraId="1ECBB576">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3.项目联系方式</w:t>
      </w:r>
    </w:p>
    <w:p w14:paraId="691DF7F1">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项目联系人：王朝艳、程萌</w:t>
      </w:r>
    </w:p>
    <w:p w14:paraId="71172BCC">
      <w:pPr>
        <w:wordWrap w:val="0"/>
        <w:adjustRightInd w:val="0"/>
        <w:snapToGrid w:val="0"/>
        <w:spacing w:before="40" w:after="40" w:line="360" w:lineRule="auto"/>
        <w:ind w:firstLine="420" w:firstLineChars="200"/>
        <w:rPr>
          <w:rFonts w:ascii="宋体" w:hAnsi="宋体"/>
          <w:bCs/>
          <w:szCs w:val="21"/>
        </w:rPr>
      </w:pPr>
      <w:r>
        <w:rPr>
          <w:rFonts w:hint="eastAsia" w:ascii="宋体" w:hAnsi="宋体"/>
          <w:bCs/>
          <w:szCs w:val="21"/>
        </w:rPr>
        <w:t>联系方式：0371-86556161、15839171848</w:t>
      </w:r>
    </w:p>
    <w:p w14:paraId="66650B57">
      <w:pPr>
        <w:wordWrap w:val="0"/>
        <w:adjustRightInd w:val="0"/>
        <w:snapToGrid w:val="0"/>
        <w:spacing w:before="40" w:after="40" w:line="360" w:lineRule="auto"/>
        <w:ind w:firstLine="420" w:firstLineChars="200"/>
        <w:rPr>
          <w:rFonts w:ascii="宋体" w:hAnsi="宋体"/>
          <w:bCs/>
          <w:szCs w:val="21"/>
        </w:rPr>
      </w:pPr>
    </w:p>
    <w:p w14:paraId="2333104E">
      <w:pPr>
        <w:wordWrap w:val="0"/>
        <w:adjustRightInd w:val="0"/>
        <w:snapToGrid w:val="0"/>
        <w:spacing w:before="40" w:after="40" w:line="360" w:lineRule="auto"/>
        <w:ind w:firstLine="420" w:firstLineChars="200"/>
        <w:jc w:val="right"/>
        <w:rPr>
          <w:rFonts w:ascii="宋体" w:hAnsi="宋体"/>
          <w:bCs/>
          <w:szCs w:val="21"/>
        </w:rPr>
      </w:pPr>
    </w:p>
    <w:p w14:paraId="0C885560">
      <w:pPr>
        <w:wordWrap w:val="0"/>
        <w:adjustRightInd w:val="0"/>
        <w:snapToGrid w:val="0"/>
        <w:spacing w:before="40" w:after="40" w:line="360" w:lineRule="auto"/>
        <w:ind w:firstLine="420" w:firstLineChars="200"/>
        <w:jc w:val="right"/>
        <w:rPr>
          <w:rFonts w:ascii="宋体" w:hAnsi="宋体"/>
          <w:bCs/>
          <w:szCs w:val="21"/>
        </w:rPr>
      </w:pPr>
      <w:r>
        <w:rPr>
          <w:rFonts w:hint="eastAsia" w:ascii="宋体" w:hAnsi="宋体"/>
          <w:bCs/>
          <w:szCs w:val="21"/>
        </w:rPr>
        <w:t>2025年</w:t>
      </w:r>
      <w:r>
        <w:rPr>
          <w:rFonts w:hint="eastAsia" w:ascii="宋体" w:hAnsi="宋体"/>
          <w:bCs/>
          <w:szCs w:val="21"/>
          <w:lang w:val="en-US" w:eastAsia="zh-CN"/>
        </w:rPr>
        <w:t>5</w:t>
      </w:r>
      <w:r>
        <w:rPr>
          <w:rFonts w:hint="eastAsia" w:ascii="宋体" w:hAnsi="宋体"/>
          <w:bCs/>
          <w:szCs w:val="21"/>
        </w:rPr>
        <w:t>月</w:t>
      </w:r>
      <w:r>
        <w:rPr>
          <w:rFonts w:hint="eastAsia" w:ascii="宋体" w:hAnsi="宋体"/>
          <w:bCs/>
          <w:szCs w:val="21"/>
          <w:lang w:val="en-US" w:eastAsia="zh-CN"/>
        </w:rPr>
        <w:t>16</w:t>
      </w:r>
      <w:r>
        <w:rPr>
          <w:rFonts w:hint="eastAsia" w:ascii="宋体" w:hAnsi="宋体"/>
          <w:bCs/>
          <w:szCs w:val="21"/>
        </w:rPr>
        <w:t>日</w:t>
      </w:r>
    </w:p>
    <w:p w14:paraId="38C1A5FA">
      <w:pPr>
        <w:pStyle w:val="2"/>
        <w:rPr>
          <w:rFonts w:ascii="宋体" w:hAnsi="宋体"/>
          <w:sz w:val="32"/>
          <w:szCs w:val="32"/>
        </w:rPr>
      </w:pPr>
      <w:r>
        <w:rPr>
          <w:rFonts w:hint="eastAsia" w:ascii="宋体" w:hAnsi="宋体"/>
          <w:bCs/>
          <w:sz w:val="32"/>
          <w:szCs w:val="32"/>
        </w:rPr>
        <w:br w:type="page"/>
      </w:r>
      <w:bookmarkStart w:id="44" w:name="_Toc18776"/>
      <w:bookmarkStart w:id="45" w:name="_Toc27185"/>
      <w:bookmarkStart w:id="46" w:name="_Toc5881"/>
      <w:bookmarkStart w:id="47" w:name="_Toc31928"/>
      <w:r>
        <w:rPr>
          <w:rFonts w:hint="eastAsia" w:ascii="宋体" w:hAnsi="宋体"/>
          <w:bCs/>
          <w:sz w:val="32"/>
          <w:szCs w:val="32"/>
        </w:rPr>
        <w:t>第二章  供应商须知</w:t>
      </w:r>
      <w:bookmarkEnd w:id="15"/>
      <w:bookmarkEnd w:id="16"/>
      <w:bookmarkEnd w:id="17"/>
      <w:bookmarkEnd w:id="44"/>
      <w:bookmarkEnd w:id="45"/>
      <w:bookmarkEnd w:id="46"/>
      <w:bookmarkEnd w:id="47"/>
    </w:p>
    <w:bookmarkEnd w:id="18"/>
    <w:p w14:paraId="7EEC0F93">
      <w:pPr>
        <w:wordWrap w:val="0"/>
        <w:spacing w:line="360" w:lineRule="auto"/>
        <w:jc w:val="center"/>
        <w:outlineLvl w:val="1"/>
        <w:rPr>
          <w:rFonts w:ascii="宋体" w:hAnsi="宋体"/>
          <w:b/>
          <w:szCs w:val="21"/>
        </w:rPr>
      </w:pPr>
      <w:bookmarkStart w:id="48" w:name="_Toc20088"/>
      <w:bookmarkStart w:id="49" w:name="_Toc15369"/>
      <w:bookmarkStart w:id="50" w:name="_Toc32835831"/>
      <w:bookmarkStart w:id="51" w:name="_Toc18712"/>
      <w:bookmarkStart w:id="52" w:name="_Toc14617"/>
      <w:bookmarkStart w:id="53" w:name="_Toc19384"/>
      <w:r>
        <w:rPr>
          <w:rFonts w:hint="eastAsia" w:ascii="宋体" w:hAnsi="宋体" w:cs="宋体"/>
          <w:b/>
          <w:sz w:val="30"/>
          <w:szCs w:val="30"/>
        </w:rPr>
        <w:t>供应商须知前附表</w:t>
      </w:r>
      <w:bookmarkEnd w:id="48"/>
      <w:bookmarkEnd w:id="49"/>
      <w:bookmarkEnd w:id="50"/>
      <w:bookmarkEnd w:id="51"/>
      <w:bookmarkEnd w:id="52"/>
      <w:bookmarkEnd w:id="53"/>
    </w:p>
    <w:tbl>
      <w:tblPr>
        <w:tblStyle w:val="5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845"/>
        <w:gridCol w:w="6523"/>
      </w:tblGrid>
      <w:tr w14:paraId="12C0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3" w:type="dxa"/>
            <w:vAlign w:val="center"/>
          </w:tcPr>
          <w:p w14:paraId="37B7F50E">
            <w:pPr>
              <w:wordWrap w:val="0"/>
              <w:adjustRightInd w:val="0"/>
              <w:snapToGrid w:val="0"/>
              <w:spacing w:beforeLines="20" w:line="360" w:lineRule="auto"/>
              <w:ind w:left="42" w:leftChars="20"/>
              <w:jc w:val="center"/>
              <w:rPr>
                <w:rFonts w:ascii="宋体" w:hAnsi="宋体" w:cs="宋体"/>
                <w:b/>
                <w:szCs w:val="21"/>
              </w:rPr>
            </w:pPr>
            <w:r>
              <w:rPr>
                <w:rFonts w:hint="eastAsia" w:ascii="宋体" w:hAnsi="宋体" w:cs="宋体"/>
                <w:b/>
                <w:szCs w:val="21"/>
              </w:rPr>
              <w:t>条款号</w:t>
            </w:r>
          </w:p>
        </w:tc>
        <w:tc>
          <w:tcPr>
            <w:tcW w:w="1845" w:type="dxa"/>
            <w:vAlign w:val="center"/>
          </w:tcPr>
          <w:p w14:paraId="5F59C8FA">
            <w:pPr>
              <w:wordWrap w:val="0"/>
              <w:adjustRightInd w:val="0"/>
              <w:snapToGrid w:val="0"/>
              <w:spacing w:beforeLines="20" w:line="360" w:lineRule="auto"/>
              <w:ind w:left="42" w:leftChars="20"/>
              <w:jc w:val="center"/>
              <w:rPr>
                <w:rFonts w:ascii="宋体" w:hAnsi="宋体" w:cs="宋体"/>
                <w:b/>
                <w:szCs w:val="21"/>
              </w:rPr>
            </w:pPr>
            <w:r>
              <w:rPr>
                <w:rFonts w:hint="eastAsia" w:ascii="宋体" w:hAnsi="宋体" w:cs="宋体"/>
                <w:b/>
                <w:szCs w:val="21"/>
              </w:rPr>
              <w:t>名 称</w:t>
            </w:r>
          </w:p>
        </w:tc>
        <w:tc>
          <w:tcPr>
            <w:tcW w:w="6523" w:type="dxa"/>
            <w:vAlign w:val="center"/>
          </w:tcPr>
          <w:p w14:paraId="3239C4EE">
            <w:pPr>
              <w:wordWrap w:val="0"/>
              <w:adjustRightInd w:val="0"/>
              <w:snapToGrid w:val="0"/>
              <w:spacing w:beforeLines="20" w:line="360" w:lineRule="auto"/>
              <w:ind w:left="42" w:leftChars="20"/>
              <w:jc w:val="center"/>
              <w:rPr>
                <w:rFonts w:ascii="宋体" w:hAnsi="宋体" w:cs="宋体"/>
                <w:b/>
                <w:szCs w:val="21"/>
              </w:rPr>
            </w:pPr>
            <w:r>
              <w:rPr>
                <w:rFonts w:hint="eastAsia" w:ascii="宋体" w:hAnsi="宋体" w:cs="宋体"/>
                <w:b/>
                <w:szCs w:val="21"/>
              </w:rPr>
              <w:t>编 列 内 容</w:t>
            </w:r>
          </w:p>
        </w:tc>
      </w:tr>
      <w:tr w14:paraId="7763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49D26574">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1.1.1</w:t>
            </w:r>
          </w:p>
        </w:tc>
        <w:tc>
          <w:tcPr>
            <w:tcW w:w="1845" w:type="dxa"/>
            <w:shd w:val="clear" w:color="auto" w:fill="auto"/>
            <w:vAlign w:val="center"/>
          </w:tcPr>
          <w:p w14:paraId="246CD531">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采购人</w:t>
            </w:r>
          </w:p>
        </w:tc>
        <w:tc>
          <w:tcPr>
            <w:tcW w:w="6523" w:type="dxa"/>
            <w:vAlign w:val="center"/>
          </w:tcPr>
          <w:p w14:paraId="39F6646D">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名称：河南省中医院（河南中医药大学第二附属医院）</w:t>
            </w:r>
          </w:p>
          <w:p w14:paraId="2C9C61DD">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地址：郑州市东风路6号</w:t>
            </w:r>
          </w:p>
          <w:p w14:paraId="22A60721">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联系人：</w:t>
            </w:r>
            <w:r>
              <w:rPr>
                <w:rFonts w:hint="eastAsia" w:ascii="宋体" w:hAnsi="宋体" w:cs="宋体"/>
                <w:bCs/>
                <w:szCs w:val="21"/>
              </w:rPr>
              <w:t>王老师</w:t>
            </w:r>
          </w:p>
          <w:p w14:paraId="3550D291">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电话：0371-53312426</w:t>
            </w:r>
          </w:p>
        </w:tc>
      </w:tr>
      <w:tr w14:paraId="6D6F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42D7A9D1">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1.1.2</w:t>
            </w:r>
          </w:p>
        </w:tc>
        <w:tc>
          <w:tcPr>
            <w:tcW w:w="1845" w:type="dxa"/>
            <w:shd w:val="clear" w:color="auto" w:fill="auto"/>
            <w:vAlign w:val="center"/>
          </w:tcPr>
          <w:p w14:paraId="09CA2813">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采购代理机构</w:t>
            </w:r>
          </w:p>
        </w:tc>
        <w:tc>
          <w:tcPr>
            <w:tcW w:w="6523" w:type="dxa"/>
            <w:vAlign w:val="center"/>
          </w:tcPr>
          <w:p w14:paraId="5B32A0C8">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名  称：中建山河建设管理集团有限公司</w:t>
            </w:r>
          </w:p>
          <w:p w14:paraId="277BBF7A">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地  址：郑州市郑东新区七里河南路与圃田西路交叉口明亮集团大楼三楼312室</w:t>
            </w:r>
          </w:p>
          <w:p w14:paraId="6B51BCA9">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联系人：王朝艳、程萌</w:t>
            </w:r>
          </w:p>
          <w:p w14:paraId="015A538F">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联系方式：0371-86556161、15839171848</w:t>
            </w:r>
          </w:p>
          <w:p w14:paraId="7C356C25">
            <w:pPr>
              <w:wordWrap w:val="0"/>
              <w:adjustRightInd w:val="0"/>
              <w:snapToGrid w:val="0"/>
              <w:spacing w:beforeLines="20" w:line="360" w:lineRule="auto"/>
              <w:ind w:left="42" w:leftChars="20"/>
              <w:rPr>
                <w:rFonts w:ascii="宋体" w:hAnsi="宋体" w:cs="宋体"/>
                <w:szCs w:val="21"/>
              </w:rPr>
            </w:pPr>
            <w:r>
              <w:rPr>
                <w:rFonts w:hint="eastAsia" w:ascii="宋体" w:hAnsi="宋体" w:cs="宋体"/>
                <w:szCs w:val="21"/>
              </w:rPr>
              <w:t>邮  箱：zjsh86556161@163.com</w:t>
            </w:r>
          </w:p>
        </w:tc>
      </w:tr>
      <w:tr w14:paraId="1FB6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14:paraId="3B8530D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1.1.2</w:t>
            </w:r>
          </w:p>
        </w:tc>
        <w:tc>
          <w:tcPr>
            <w:tcW w:w="1845" w:type="dxa"/>
            <w:vAlign w:val="center"/>
          </w:tcPr>
          <w:p w14:paraId="39792DC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项目名称</w:t>
            </w:r>
          </w:p>
        </w:tc>
        <w:tc>
          <w:tcPr>
            <w:tcW w:w="6523" w:type="dxa"/>
            <w:vAlign w:val="center"/>
          </w:tcPr>
          <w:p w14:paraId="2DDAC08E">
            <w:pPr>
              <w:adjustRightInd w:val="0"/>
              <w:snapToGrid w:val="0"/>
              <w:spacing w:beforeLines="20" w:line="360" w:lineRule="auto"/>
              <w:ind w:left="42" w:leftChars="20"/>
              <w:rPr>
                <w:rFonts w:ascii="宋体" w:hAnsi="宋体" w:cs="宋体"/>
                <w:szCs w:val="21"/>
              </w:rPr>
            </w:pPr>
            <w:r>
              <w:rPr>
                <w:rFonts w:hint="eastAsia" w:ascii="宋体" w:hAnsi="宋体" w:cs="宋体"/>
                <w:szCs w:val="21"/>
              </w:rPr>
              <w:t>河南省中医院（河南中医药大学第二附属医院）劳务派遣服务采购项目</w:t>
            </w:r>
          </w:p>
        </w:tc>
      </w:tr>
      <w:tr w14:paraId="7C1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6BE96D92">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1.1.3</w:t>
            </w:r>
          </w:p>
        </w:tc>
        <w:tc>
          <w:tcPr>
            <w:tcW w:w="1845" w:type="dxa"/>
            <w:vAlign w:val="center"/>
          </w:tcPr>
          <w:p w14:paraId="0C9E152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项目编号</w:t>
            </w:r>
          </w:p>
        </w:tc>
        <w:tc>
          <w:tcPr>
            <w:tcW w:w="6523" w:type="dxa"/>
            <w:vAlign w:val="center"/>
          </w:tcPr>
          <w:p w14:paraId="62F65425">
            <w:pPr>
              <w:adjustRightInd w:val="0"/>
              <w:snapToGrid w:val="0"/>
              <w:spacing w:beforeLines="20" w:line="360" w:lineRule="auto"/>
              <w:ind w:left="42" w:leftChars="20"/>
              <w:rPr>
                <w:rFonts w:hint="eastAsia" w:ascii="宋体" w:hAnsi="宋体" w:eastAsia="宋体" w:cs="宋体"/>
                <w:szCs w:val="21"/>
                <w:lang w:eastAsia="zh-CN"/>
              </w:rPr>
            </w:pPr>
            <w:r>
              <w:rPr>
                <w:rFonts w:hint="eastAsia" w:ascii="宋体" w:hAnsi="宋体" w:cs="宋体"/>
                <w:szCs w:val="21"/>
                <w:lang w:eastAsia="zh-CN"/>
              </w:rPr>
              <w:t>豫财招标采购-2025-418</w:t>
            </w:r>
          </w:p>
        </w:tc>
      </w:tr>
      <w:tr w14:paraId="566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03" w:type="dxa"/>
            <w:vAlign w:val="center"/>
          </w:tcPr>
          <w:p w14:paraId="2A4194C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1.1.4</w:t>
            </w:r>
          </w:p>
        </w:tc>
        <w:tc>
          <w:tcPr>
            <w:tcW w:w="1845" w:type="dxa"/>
            <w:vAlign w:val="center"/>
          </w:tcPr>
          <w:p w14:paraId="1053A6D2">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包段划分</w:t>
            </w:r>
          </w:p>
        </w:tc>
        <w:tc>
          <w:tcPr>
            <w:tcW w:w="6523" w:type="dxa"/>
            <w:vAlign w:val="center"/>
          </w:tcPr>
          <w:p w14:paraId="2FAB6854">
            <w:pPr>
              <w:adjustRightInd w:val="0"/>
              <w:snapToGrid w:val="0"/>
              <w:spacing w:beforeLines="20" w:line="360" w:lineRule="auto"/>
              <w:ind w:left="42" w:leftChars="20"/>
              <w:rPr>
                <w:rFonts w:ascii="宋体" w:hAnsi="宋体" w:cs="宋体"/>
                <w:szCs w:val="21"/>
              </w:rPr>
            </w:pPr>
            <w:r>
              <w:rPr>
                <w:rFonts w:hint="eastAsia" w:ascii="宋体" w:hAnsi="宋体" w:cs="宋体"/>
                <w:szCs w:val="21"/>
              </w:rPr>
              <w:t>本项目共一个包段</w:t>
            </w:r>
          </w:p>
        </w:tc>
      </w:tr>
      <w:tr w14:paraId="0478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3C03AE0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1.1.5</w:t>
            </w:r>
          </w:p>
        </w:tc>
        <w:tc>
          <w:tcPr>
            <w:tcW w:w="1845" w:type="dxa"/>
            <w:vAlign w:val="center"/>
          </w:tcPr>
          <w:p w14:paraId="474BE305">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资金来源及比例</w:t>
            </w:r>
          </w:p>
        </w:tc>
        <w:tc>
          <w:tcPr>
            <w:tcW w:w="6523" w:type="dxa"/>
            <w:vAlign w:val="center"/>
          </w:tcPr>
          <w:p w14:paraId="30B38906">
            <w:pPr>
              <w:adjustRightInd w:val="0"/>
              <w:snapToGrid w:val="0"/>
              <w:spacing w:beforeLines="20" w:line="360" w:lineRule="auto"/>
              <w:ind w:left="42" w:leftChars="20"/>
              <w:rPr>
                <w:rFonts w:ascii="宋体" w:hAnsi="宋体" w:cs="宋体"/>
                <w:szCs w:val="21"/>
              </w:rPr>
            </w:pPr>
            <w:r>
              <w:rPr>
                <w:rFonts w:hint="eastAsia" w:ascii="宋体" w:hAnsi="宋体" w:cs="宋体"/>
                <w:szCs w:val="21"/>
              </w:rPr>
              <w:t>财政资金100%</w:t>
            </w:r>
          </w:p>
        </w:tc>
      </w:tr>
      <w:tr w14:paraId="2DC2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5367FE77">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1.3.1</w:t>
            </w:r>
          </w:p>
        </w:tc>
        <w:tc>
          <w:tcPr>
            <w:tcW w:w="1845" w:type="dxa"/>
            <w:vAlign w:val="center"/>
          </w:tcPr>
          <w:p w14:paraId="07624AB3">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采购内容</w:t>
            </w:r>
          </w:p>
        </w:tc>
        <w:tc>
          <w:tcPr>
            <w:tcW w:w="6523" w:type="dxa"/>
            <w:vAlign w:val="center"/>
          </w:tcPr>
          <w:p w14:paraId="56ED2DBF">
            <w:pPr>
              <w:adjustRightInd w:val="0"/>
              <w:snapToGrid w:val="0"/>
              <w:spacing w:beforeLines="20" w:line="360" w:lineRule="auto"/>
              <w:ind w:left="42" w:leftChars="20"/>
              <w:rPr>
                <w:rFonts w:ascii="宋体" w:hAnsi="宋体" w:cs="宋体"/>
                <w:szCs w:val="21"/>
              </w:rPr>
            </w:pPr>
            <w:r>
              <w:rPr>
                <w:rFonts w:hint="eastAsia" w:ascii="宋体" w:hAnsi="宋体" w:cs="宋体"/>
                <w:bCs/>
                <w:szCs w:val="21"/>
              </w:rPr>
              <w:t>本项目为采购一家符合要求的供应商，为采购人提供劳务派遣服务，派遣人员主要从事医护助理、导诊、数据录入、推拿按摩、物资转运、工勤技能等辅助性岗位工作，预计需劳务派遣人员95人（最终服务岗位及人员数量以实际派遣情况为准）</w:t>
            </w:r>
          </w:p>
        </w:tc>
      </w:tr>
      <w:tr w14:paraId="4F96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0541CA2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1.3.2</w:t>
            </w:r>
          </w:p>
        </w:tc>
        <w:tc>
          <w:tcPr>
            <w:tcW w:w="1845" w:type="dxa"/>
            <w:vAlign w:val="center"/>
          </w:tcPr>
          <w:p w14:paraId="049D185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服务期限</w:t>
            </w:r>
          </w:p>
        </w:tc>
        <w:tc>
          <w:tcPr>
            <w:tcW w:w="6523" w:type="dxa"/>
            <w:vAlign w:val="center"/>
          </w:tcPr>
          <w:p w14:paraId="310FFCE5">
            <w:pPr>
              <w:adjustRightInd w:val="0"/>
              <w:snapToGrid w:val="0"/>
              <w:spacing w:beforeLines="20" w:line="360" w:lineRule="auto"/>
              <w:ind w:left="42" w:leftChars="20"/>
              <w:rPr>
                <w:rFonts w:ascii="宋体" w:hAnsi="宋体" w:cs="宋体"/>
                <w:szCs w:val="21"/>
              </w:rPr>
            </w:pPr>
            <w:r>
              <w:rPr>
                <w:rFonts w:hint="eastAsia" w:ascii="宋体" w:hAnsi="宋体" w:cs="宋体"/>
                <w:bCs/>
                <w:szCs w:val="21"/>
              </w:rPr>
              <w:t>三年，采取1+1+1方式，按年度签订合同，</w:t>
            </w:r>
            <w:r>
              <w:rPr>
                <w:rFonts w:hint="eastAsia" w:ascii="宋体" w:hAnsi="宋体" w:cs="宋体"/>
                <w:szCs w:val="21"/>
              </w:rPr>
              <w:t>双方根据上一年度的服务和综合评定情况协商确定是否续签。</w:t>
            </w:r>
          </w:p>
        </w:tc>
      </w:tr>
      <w:tr w14:paraId="00E2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304E758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1.3.3</w:t>
            </w:r>
          </w:p>
        </w:tc>
        <w:tc>
          <w:tcPr>
            <w:tcW w:w="1845" w:type="dxa"/>
            <w:vAlign w:val="center"/>
          </w:tcPr>
          <w:p w14:paraId="1B5327C8">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服务质量</w:t>
            </w:r>
          </w:p>
        </w:tc>
        <w:tc>
          <w:tcPr>
            <w:tcW w:w="6523" w:type="dxa"/>
            <w:vAlign w:val="center"/>
          </w:tcPr>
          <w:p w14:paraId="435C75F3">
            <w:pPr>
              <w:adjustRightInd w:val="0"/>
              <w:snapToGrid w:val="0"/>
              <w:spacing w:beforeLines="20" w:line="360" w:lineRule="auto"/>
              <w:ind w:left="42" w:leftChars="20"/>
              <w:rPr>
                <w:rFonts w:ascii="宋体" w:hAnsi="宋体" w:cs="宋体"/>
                <w:szCs w:val="21"/>
              </w:rPr>
            </w:pPr>
            <w:r>
              <w:rPr>
                <w:rFonts w:hint="eastAsia" w:ascii="宋体" w:hAnsi="宋体" w:cs="宋体"/>
                <w:bCs/>
                <w:szCs w:val="21"/>
              </w:rPr>
              <w:t>满足</w:t>
            </w:r>
            <w:r>
              <w:rPr>
                <w:rFonts w:hint="eastAsia" w:ascii="宋体" w:hAnsi="宋体" w:cs="宋体"/>
                <w:szCs w:val="21"/>
              </w:rPr>
              <w:t>采购人要求</w:t>
            </w:r>
          </w:p>
        </w:tc>
      </w:tr>
      <w:tr w14:paraId="7156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03" w:type="dxa"/>
            <w:shd w:val="clear" w:color="auto" w:fill="auto"/>
            <w:vAlign w:val="center"/>
          </w:tcPr>
          <w:p w14:paraId="08F6F77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1.4.1</w:t>
            </w:r>
          </w:p>
        </w:tc>
        <w:tc>
          <w:tcPr>
            <w:tcW w:w="1845" w:type="dxa"/>
            <w:shd w:val="clear" w:color="auto" w:fill="auto"/>
            <w:vAlign w:val="center"/>
          </w:tcPr>
          <w:p w14:paraId="2F6FA6E0">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供应商资格要求</w:t>
            </w:r>
          </w:p>
        </w:tc>
        <w:tc>
          <w:tcPr>
            <w:tcW w:w="6523" w:type="dxa"/>
            <w:shd w:val="clear" w:color="auto" w:fill="auto"/>
            <w:vAlign w:val="center"/>
          </w:tcPr>
          <w:p w14:paraId="65377977">
            <w:pPr>
              <w:numPr>
                <w:ilvl w:val="0"/>
                <w:numId w:val="2"/>
              </w:numPr>
              <w:adjustRightInd w:val="0"/>
              <w:snapToGrid w:val="0"/>
              <w:spacing w:beforeLines="20" w:line="360" w:lineRule="auto"/>
              <w:ind w:left="42" w:leftChars="20"/>
              <w:rPr>
                <w:rFonts w:ascii="宋体" w:hAnsi="宋体" w:cs="宋体"/>
                <w:szCs w:val="21"/>
              </w:rPr>
            </w:pPr>
            <w:r>
              <w:rPr>
                <w:rFonts w:hint="eastAsia" w:ascii="宋体" w:hAnsi="宋体" w:cs="宋体"/>
                <w:szCs w:val="21"/>
              </w:rPr>
              <w:t>满足《中华人民共和国政府采购法》第二十二条规定；</w:t>
            </w:r>
          </w:p>
          <w:p w14:paraId="5573725C">
            <w:pPr>
              <w:adjustRightInd w:val="0"/>
              <w:snapToGrid w:val="0"/>
              <w:spacing w:beforeLines="20" w:line="360" w:lineRule="auto"/>
              <w:ind w:left="42" w:leftChars="20"/>
              <w:rPr>
                <w:rFonts w:ascii="宋体" w:hAnsi="宋体" w:cs="宋体"/>
                <w:b/>
                <w:bCs/>
                <w:szCs w:val="21"/>
              </w:rPr>
            </w:pPr>
            <w:r>
              <w:rPr>
                <w:rFonts w:hint="eastAsia" w:ascii="宋体" w:hAnsi="宋体" w:cs="宋体"/>
                <w:b/>
                <w:bCs/>
                <w:szCs w:val="21"/>
              </w:rPr>
              <w:t>需提供证明资料见“第三章 资格审查、评标办法及标准”中“资格审查标准”。</w:t>
            </w:r>
          </w:p>
          <w:p w14:paraId="3B4DE949">
            <w:pPr>
              <w:adjustRightInd w:val="0"/>
              <w:snapToGrid w:val="0"/>
              <w:spacing w:beforeLines="20" w:line="360" w:lineRule="auto"/>
              <w:ind w:left="42" w:leftChars="20"/>
              <w:rPr>
                <w:rFonts w:ascii="宋体" w:hAnsi="宋体" w:cs="宋体"/>
                <w:szCs w:val="21"/>
              </w:rPr>
            </w:pPr>
            <w:r>
              <w:rPr>
                <w:rFonts w:hint="eastAsia" w:ascii="宋体" w:hAnsi="宋体" w:cs="宋体"/>
                <w:szCs w:val="21"/>
              </w:rPr>
              <w:t>2.落实政府采购政策需满足的资格要求：本项目专门面向中小企业采购，监狱企业和残疾人福利性单位视同小型、微型企业。供应商应当出具有效的《中小企业声明函》，监狱企业应当提供由省级以上监狱管理局、戒毒管理局（含新疆生产建设兵团）出具的属于监狱企业的证明文件；符合条件的残疾人福利性单位应当提供《残疾人福利性单位声明函》。</w:t>
            </w:r>
          </w:p>
          <w:p w14:paraId="6099E5DF">
            <w:pPr>
              <w:adjustRightInd w:val="0"/>
              <w:snapToGrid w:val="0"/>
              <w:spacing w:beforeLines="20" w:line="360" w:lineRule="auto"/>
              <w:ind w:left="42" w:leftChars="20"/>
              <w:rPr>
                <w:rFonts w:ascii="宋体" w:hAnsi="宋体" w:cs="宋体"/>
                <w:szCs w:val="21"/>
              </w:rPr>
            </w:pPr>
            <w:r>
              <w:rPr>
                <w:rFonts w:hint="eastAsia" w:ascii="宋体" w:hAnsi="宋体" w:cs="宋体"/>
                <w:szCs w:val="21"/>
              </w:rPr>
              <w:t>3.本项目的特定资格要求：</w:t>
            </w:r>
          </w:p>
          <w:p w14:paraId="6A5FAE26">
            <w:pPr>
              <w:adjustRightInd w:val="0"/>
              <w:snapToGrid w:val="0"/>
              <w:spacing w:beforeLines="20" w:line="360" w:lineRule="auto"/>
              <w:ind w:left="42" w:leftChars="20"/>
              <w:rPr>
                <w:rFonts w:ascii="宋体" w:hAnsi="宋体" w:cs="宋体"/>
                <w:szCs w:val="21"/>
              </w:rPr>
            </w:pPr>
            <w:r>
              <w:rPr>
                <w:rFonts w:hint="eastAsia" w:ascii="宋体" w:hAnsi="宋体" w:cs="宋体"/>
                <w:szCs w:val="21"/>
              </w:rPr>
              <w:t>3.1 投标人须具有主管部门颁发的有效的《劳务派遣经营许可证》、《人力资源服务许可证》；</w:t>
            </w:r>
          </w:p>
          <w:p w14:paraId="557146BD">
            <w:pPr>
              <w:adjustRightInd w:val="0"/>
              <w:snapToGrid w:val="0"/>
              <w:spacing w:beforeLines="20" w:line="360" w:lineRule="auto"/>
              <w:ind w:left="42" w:leftChars="20"/>
              <w:rPr>
                <w:rFonts w:ascii="宋体" w:hAnsi="宋体" w:cs="宋体"/>
                <w:szCs w:val="21"/>
              </w:rPr>
            </w:pPr>
            <w:r>
              <w:rPr>
                <w:rFonts w:hint="eastAsia" w:ascii="宋体" w:hAnsi="宋体" w:cs="宋体"/>
                <w:szCs w:val="21"/>
              </w:rPr>
              <w:t>3.2本项目提交投标文件截止时间前被“信用中国”网站列入失信被执行人和重大税收违法失信主体的、被“中国政府采购网”网站列入政府采购严重违法失信行为记录名单（处罚期限尚未届满的），不得参与本项目的采购活动；招标人或招标代理机构将在开标当日资格审查结束前通过以下渠道对各供应商信用记录进行查询,信用信息查询记录及相关证据与其他采购文件一并保存。（失信被执行人查询渠道：“中国执行信息公开网”网站；重大税收违法失信主体查询渠道：“信用中国”网站；政府采购严重违法失信行为查询渠道：“中国政府采购网”）；</w:t>
            </w:r>
          </w:p>
          <w:p w14:paraId="5B171752">
            <w:pPr>
              <w:adjustRightInd w:val="0"/>
              <w:snapToGrid w:val="0"/>
              <w:spacing w:beforeLines="20" w:line="360" w:lineRule="auto"/>
              <w:ind w:left="42" w:leftChars="20"/>
              <w:rPr>
                <w:rFonts w:ascii="宋体" w:hAnsi="宋体" w:cs="宋体"/>
                <w:szCs w:val="21"/>
              </w:rPr>
            </w:pPr>
            <w:r>
              <w:rPr>
                <w:rFonts w:hint="eastAsia" w:ascii="宋体" w:hAnsi="宋体" w:cs="宋体"/>
                <w:szCs w:val="21"/>
              </w:rPr>
              <w:t>3.7单位负责人为同一人或者存在直接控股、管理关系的不同供应商，不得参加同一合同项下的政府采购活动。</w:t>
            </w:r>
          </w:p>
        </w:tc>
      </w:tr>
      <w:tr w14:paraId="4A5D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03" w:type="dxa"/>
            <w:vAlign w:val="center"/>
          </w:tcPr>
          <w:p w14:paraId="64C8EF2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1.4.2</w:t>
            </w:r>
          </w:p>
        </w:tc>
        <w:tc>
          <w:tcPr>
            <w:tcW w:w="1845" w:type="dxa"/>
            <w:vAlign w:val="center"/>
          </w:tcPr>
          <w:p w14:paraId="583EEBF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是否接受联合体投标</w:t>
            </w:r>
          </w:p>
        </w:tc>
        <w:tc>
          <w:tcPr>
            <w:tcW w:w="6523" w:type="dxa"/>
            <w:vAlign w:val="center"/>
          </w:tcPr>
          <w:p w14:paraId="6E0A5B3A">
            <w:pPr>
              <w:adjustRightInd w:val="0"/>
              <w:snapToGrid w:val="0"/>
              <w:spacing w:beforeLines="20" w:line="360" w:lineRule="auto"/>
              <w:ind w:left="42" w:leftChars="20"/>
              <w:rPr>
                <w:rFonts w:ascii="宋体" w:hAnsi="宋体" w:cs="宋体"/>
                <w:szCs w:val="21"/>
              </w:rPr>
            </w:pPr>
            <w:r>
              <w:rPr>
                <w:rFonts w:hint="eastAsia" w:ascii="宋体" w:hAnsi="宋体" w:cs="宋体"/>
                <w:szCs w:val="21"/>
              </w:rPr>
              <w:t>否</w:t>
            </w:r>
          </w:p>
        </w:tc>
      </w:tr>
      <w:tr w14:paraId="725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shd w:val="clear" w:color="auto" w:fill="auto"/>
            <w:vAlign w:val="center"/>
          </w:tcPr>
          <w:p w14:paraId="2FF76075">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1.9.1</w:t>
            </w:r>
          </w:p>
        </w:tc>
        <w:tc>
          <w:tcPr>
            <w:tcW w:w="1845" w:type="dxa"/>
            <w:shd w:val="clear" w:color="auto" w:fill="auto"/>
            <w:vAlign w:val="center"/>
          </w:tcPr>
          <w:p w14:paraId="201561BD">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踏勘现场</w:t>
            </w:r>
          </w:p>
        </w:tc>
        <w:tc>
          <w:tcPr>
            <w:tcW w:w="6523" w:type="dxa"/>
            <w:shd w:val="clear" w:color="auto" w:fill="auto"/>
            <w:vAlign w:val="center"/>
          </w:tcPr>
          <w:p w14:paraId="2CC22963">
            <w:pPr>
              <w:adjustRightInd w:val="0"/>
              <w:snapToGrid w:val="0"/>
              <w:spacing w:beforeLines="20" w:line="360" w:lineRule="auto"/>
              <w:ind w:left="42" w:leftChars="20"/>
              <w:rPr>
                <w:rFonts w:ascii="宋体" w:hAnsi="宋体" w:cs="宋体"/>
                <w:szCs w:val="21"/>
                <w:lang w:eastAsia="en-US"/>
              </w:rPr>
            </w:pPr>
            <w:r>
              <w:rPr>
                <w:rFonts w:hint="eastAsia" w:ascii="宋体" w:hAnsi="宋体" w:cs="宋体"/>
                <w:szCs w:val="21"/>
              </w:rPr>
              <w:t>不组织</w:t>
            </w:r>
          </w:p>
        </w:tc>
      </w:tr>
      <w:tr w14:paraId="2B2B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shd w:val="clear" w:color="auto" w:fill="auto"/>
            <w:vAlign w:val="center"/>
          </w:tcPr>
          <w:p w14:paraId="11CBEEE8">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1.10.1</w:t>
            </w:r>
          </w:p>
        </w:tc>
        <w:tc>
          <w:tcPr>
            <w:tcW w:w="1845" w:type="dxa"/>
            <w:shd w:val="clear" w:color="auto" w:fill="auto"/>
            <w:vAlign w:val="center"/>
          </w:tcPr>
          <w:p w14:paraId="1348A07F">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开标前答疑会</w:t>
            </w:r>
          </w:p>
        </w:tc>
        <w:tc>
          <w:tcPr>
            <w:tcW w:w="6523" w:type="dxa"/>
            <w:shd w:val="clear" w:color="auto" w:fill="auto"/>
            <w:vAlign w:val="center"/>
          </w:tcPr>
          <w:p w14:paraId="37F2ADCC">
            <w:pPr>
              <w:adjustRightInd w:val="0"/>
              <w:snapToGrid w:val="0"/>
              <w:spacing w:beforeLines="20" w:line="360" w:lineRule="auto"/>
              <w:ind w:left="42" w:leftChars="20"/>
              <w:rPr>
                <w:rFonts w:ascii="宋体" w:hAnsi="宋体" w:cs="宋体"/>
                <w:szCs w:val="21"/>
                <w:lang w:eastAsia="en-US"/>
              </w:rPr>
            </w:pPr>
            <w:r>
              <w:rPr>
                <w:rFonts w:hint="eastAsia" w:ascii="宋体" w:hAnsi="宋体" w:cs="宋体"/>
                <w:szCs w:val="21"/>
              </w:rPr>
              <w:t>不召开</w:t>
            </w:r>
          </w:p>
        </w:tc>
      </w:tr>
      <w:tr w14:paraId="2BF3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03" w:type="dxa"/>
            <w:shd w:val="clear" w:color="auto" w:fill="auto"/>
            <w:vAlign w:val="center"/>
          </w:tcPr>
          <w:p w14:paraId="0A716744">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1.11</w:t>
            </w:r>
          </w:p>
        </w:tc>
        <w:tc>
          <w:tcPr>
            <w:tcW w:w="1845" w:type="dxa"/>
            <w:shd w:val="clear" w:color="auto" w:fill="auto"/>
            <w:vAlign w:val="center"/>
          </w:tcPr>
          <w:p w14:paraId="0461AAE0">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分包</w:t>
            </w:r>
          </w:p>
        </w:tc>
        <w:tc>
          <w:tcPr>
            <w:tcW w:w="6523" w:type="dxa"/>
            <w:shd w:val="clear" w:color="auto" w:fill="auto"/>
            <w:vAlign w:val="center"/>
          </w:tcPr>
          <w:p w14:paraId="47DA4050">
            <w:pPr>
              <w:adjustRightInd w:val="0"/>
              <w:snapToGrid w:val="0"/>
              <w:spacing w:beforeLines="20" w:line="360" w:lineRule="auto"/>
              <w:ind w:left="42" w:leftChars="20"/>
              <w:rPr>
                <w:rFonts w:ascii="宋体" w:hAnsi="宋体" w:cs="宋体"/>
                <w:szCs w:val="21"/>
                <w:lang w:eastAsia="en-US"/>
              </w:rPr>
            </w:pPr>
            <w:r>
              <w:rPr>
                <w:rFonts w:hint="eastAsia" w:ascii="宋体" w:hAnsi="宋体" w:cs="宋体"/>
                <w:szCs w:val="21"/>
              </w:rPr>
              <w:t>不允许</w:t>
            </w:r>
          </w:p>
        </w:tc>
      </w:tr>
      <w:tr w14:paraId="6FE4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shd w:val="clear" w:color="auto" w:fill="auto"/>
            <w:vAlign w:val="center"/>
          </w:tcPr>
          <w:p w14:paraId="6C79BC9C">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1.12.1</w:t>
            </w:r>
          </w:p>
        </w:tc>
        <w:tc>
          <w:tcPr>
            <w:tcW w:w="1845" w:type="dxa"/>
            <w:shd w:val="clear" w:color="auto" w:fill="auto"/>
            <w:vAlign w:val="center"/>
          </w:tcPr>
          <w:p w14:paraId="2FB470A1">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实质性要求和条件</w:t>
            </w:r>
          </w:p>
        </w:tc>
        <w:tc>
          <w:tcPr>
            <w:tcW w:w="6523" w:type="dxa"/>
            <w:shd w:val="clear" w:color="auto" w:fill="auto"/>
            <w:vAlign w:val="center"/>
          </w:tcPr>
          <w:p w14:paraId="32746C6E">
            <w:pPr>
              <w:adjustRightInd w:val="0"/>
              <w:snapToGrid w:val="0"/>
              <w:spacing w:beforeLines="20" w:line="360" w:lineRule="auto"/>
              <w:ind w:left="42" w:leftChars="20"/>
              <w:rPr>
                <w:rFonts w:ascii="宋体" w:hAnsi="宋体" w:cs="宋体"/>
                <w:szCs w:val="21"/>
              </w:rPr>
            </w:pPr>
            <w:r>
              <w:rPr>
                <w:rFonts w:hint="eastAsia" w:ascii="宋体" w:hAnsi="宋体" w:cs="宋体"/>
                <w:szCs w:val="21"/>
              </w:rPr>
              <w:t>招标文件中用“拒绝”、“不（予）接受”、“不得”、“不允许”、“否决”等文字规定的条款；法律、法规、规章的相关规定。</w:t>
            </w:r>
          </w:p>
        </w:tc>
      </w:tr>
      <w:tr w14:paraId="12AA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shd w:val="clear" w:color="auto" w:fill="auto"/>
            <w:vAlign w:val="center"/>
          </w:tcPr>
          <w:p w14:paraId="14EFC0C4">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1.12.2</w:t>
            </w:r>
          </w:p>
        </w:tc>
        <w:tc>
          <w:tcPr>
            <w:tcW w:w="1845" w:type="dxa"/>
            <w:shd w:val="clear" w:color="auto" w:fill="auto"/>
            <w:vAlign w:val="center"/>
          </w:tcPr>
          <w:p w14:paraId="11EFD05C">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lang w:eastAsia="en-US"/>
              </w:rPr>
              <w:t>响应和偏差</w:t>
            </w:r>
          </w:p>
        </w:tc>
        <w:tc>
          <w:tcPr>
            <w:tcW w:w="6523" w:type="dxa"/>
            <w:shd w:val="clear" w:color="auto" w:fill="auto"/>
            <w:vAlign w:val="center"/>
          </w:tcPr>
          <w:p w14:paraId="35754495">
            <w:pPr>
              <w:adjustRightInd w:val="0"/>
              <w:snapToGrid w:val="0"/>
              <w:spacing w:beforeLines="20" w:line="360" w:lineRule="auto"/>
              <w:ind w:left="42" w:leftChars="20"/>
              <w:rPr>
                <w:rFonts w:ascii="宋体" w:hAnsi="宋体" w:cs="宋体"/>
                <w:szCs w:val="21"/>
              </w:rPr>
            </w:pPr>
            <w:r>
              <w:rPr>
                <w:rFonts w:hint="eastAsia" w:ascii="宋体" w:hAnsi="宋体" w:cs="宋体"/>
                <w:szCs w:val="21"/>
              </w:rPr>
              <w:t>实质性内容及采购需求不允许负偏离</w:t>
            </w:r>
          </w:p>
        </w:tc>
      </w:tr>
      <w:tr w14:paraId="5A1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shd w:val="clear" w:color="auto" w:fill="auto"/>
            <w:vAlign w:val="center"/>
          </w:tcPr>
          <w:p w14:paraId="2436C703">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2.1</w:t>
            </w:r>
          </w:p>
        </w:tc>
        <w:tc>
          <w:tcPr>
            <w:tcW w:w="1845" w:type="dxa"/>
            <w:shd w:val="clear" w:color="auto" w:fill="auto"/>
            <w:vAlign w:val="center"/>
          </w:tcPr>
          <w:p w14:paraId="10E4BEB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构成招标文件的其他材料</w:t>
            </w:r>
          </w:p>
        </w:tc>
        <w:tc>
          <w:tcPr>
            <w:tcW w:w="6523" w:type="dxa"/>
            <w:shd w:val="clear" w:color="auto" w:fill="auto"/>
            <w:vAlign w:val="center"/>
          </w:tcPr>
          <w:p w14:paraId="347BEF76">
            <w:pPr>
              <w:adjustRightInd w:val="0"/>
              <w:snapToGrid w:val="0"/>
              <w:spacing w:beforeLines="20" w:line="360" w:lineRule="auto"/>
              <w:ind w:left="42" w:leftChars="20"/>
              <w:rPr>
                <w:rFonts w:ascii="宋体" w:hAnsi="宋体" w:cs="宋体"/>
                <w:szCs w:val="21"/>
              </w:rPr>
            </w:pPr>
            <w:r>
              <w:rPr>
                <w:rFonts w:hint="eastAsia" w:ascii="宋体" w:hAnsi="宋体" w:cs="宋体"/>
                <w:szCs w:val="21"/>
              </w:rPr>
              <w:t>采购人发出的招标文件的修改、澄清、招标文件的补充文件（如有）等。</w:t>
            </w:r>
          </w:p>
        </w:tc>
      </w:tr>
      <w:tr w14:paraId="5C92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03" w:type="dxa"/>
            <w:shd w:val="clear" w:color="auto" w:fill="auto"/>
            <w:vAlign w:val="center"/>
          </w:tcPr>
          <w:p w14:paraId="15850585">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2.2.1</w:t>
            </w:r>
          </w:p>
        </w:tc>
        <w:tc>
          <w:tcPr>
            <w:tcW w:w="1845" w:type="dxa"/>
            <w:shd w:val="clear" w:color="auto" w:fill="auto"/>
            <w:vAlign w:val="center"/>
          </w:tcPr>
          <w:p w14:paraId="24625D52">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供应商要求澄清招标文件的截止时间</w:t>
            </w:r>
          </w:p>
        </w:tc>
        <w:tc>
          <w:tcPr>
            <w:tcW w:w="6523" w:type="dxa"/>
            <w:shd w:val="clear" w:color="auto" w:fill="auto"/>
            <w:vAlign w:val="center"/>
          </w:tcPr>
          <w:p w14:paraId="723F4DE8">
            <w:pPr>
              <w:adjustRightInd w:val="0"/>
              <w:snapToGrid w:val="0"/>
              <w:spacing w:beforeLines="20" w:line="360" w:lineRule="auto"/>
              <w:ind w:left="42" w:leftChars="20"/>
              <w:rPr>
                <w:rFonts w:ascii="宋体" w:hAnsi="宋体" w:cs="宋体"/>
                <w:szCs w:val="21"/>
              </w:rPr>
            </w:pPr>
            <w:r>
              <w:rPr>
                <w:rFonts w:hint="eastAsia" w:ascii="宋体" w:hAnsi="宋体" w:cs="宋体"/>
                <w:szCs w:val="21"/>
              </w:rPr>
              <w:t>潜在供应商已依法获取招标文件的，可以对该文件提出质疑。对招标文件提出质疑的，应当在获取招标文件或者招标文件公告期限（同招标公告期限）届满之日起7个工作日内提出并告知代理公司037186556161；潜在供应商在规定的时间内未提质疑的，采购人和采购代理机构将视其为无异议，开标后，采购人和采购代理机构不接受其对招标文件内容的质疑。</w:t>
            </w:r>
          </w:p>
        </w:tc>
      </w:tr>
      <w:tr w14:paraId="1A6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03" w:type="dxa"/>
            <w:shd w:val="clear" w:color="auto" w:fill="auto"/>
            <w:vAlign w:val="center"/>
          </w:tcPr>
          <w:p w14:paraId="64490A8D">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2.2.2</w:t>
            </w:r>
          </w:p>
        </w:tc>
        <w:tc>
          <w:tcPr>
            <w:tcW w:w="1845" w:type="dxa"/>
            <w:shd w:val="clear" w:color="auto" w:fill="auto"/>
            <w:vAlign w:val="center"/>
          </w:tcPr>
          <w:p w14:paraId="32EDC78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招标文件澄清 发出的形式</w:t>
            </w:r>
          </w:p>
        </w:tc>
        <w:tc>
          <w:tcPr>
            <w:tcW w:w="6523" w:type="dxa"/>
            <w:shd w:val="clear" w:color="auto" w:fill="auto"/>
            <w:vAlign w:val="center"/>
          </w:tcPr>
          <w:p w14:paraId="1EFEE739">
            <w:pPr>
              <w:adjustRightInd w:val="0"/>
              <w:snapToGrid w:val="0"/>
              <w:spacing w:beforeLines="20" w:line="360" w:lineRule="auto"/>
              <w:ind w:left="42" w:leftChars="20"/>
              <w:rPr>
                <w:rFonts w:ascii="宋体" w:hAnsi="宋体" w:cs="宋体"/>
                <w:szCs w:val="21"/>
              </w:rPr>
            </w:pPr>
            <w:r>
              <w:rPr>
                <w:rFonts w:hint="eastAsia" w:ascii="宋体" w:hAnsi="宋体" w:cs="宋体"/>
                <w:szCs w:val="21"/>
              </w:rPr>
              <w:t>递交投标文件的截止之日 15 日前，通过河南省公共资源交易中心等官方网站发放，（提醒：一经发布即视为供应商已收到并确认，各供应商应在下载招标文件后及时关注河南省公共资源交易中心等官方网站是否刊登本项目招标文件补充文件等资料，并自行下载，如由于供应商未看到并及时下载文件资料而带来的风险，采购人不承担任何责任）</w:t>
            </w:r>
          </w:p>
        </w:tc>
      </w:tr>
      <w:tr w14:paraId="6B6B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03" w:type="dxa"/>
            <w:shd w:val="clear" w:color="auto" w:fill="auto"/>
            <w:vAlign w:val="center"/>
          </w:tcPr>
          <w:p w14:paraId="3B618567">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2.2.3</w:t>
            </w:r>
          </w:p>
        </w:tc>
        <w:tc>
          <w:tcPr>
            <w:tcW w:w="1845" w:type="dxa"/>
            <w:shd w:val="clear" w:color="auto" w:fill="auto"/>
            <w:vAlign w:val="center"/>
          </w:tcPr>
          <w:p w14:paraId="5897BBB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招标文件修改发出的形式</w:t>
            </w:r>
          </w:p>
        </w:tc>
        <w:tc>
          <w:tcPr>
            <w:tcW w:w="6523" w:type="dxa"/>
            <w:shd w:val="clear" w:color="auto" w:fill="auto"/>
            <w:vAlign w:val="center"/>
          </w:tcPr>
          <w:p w14:paraId="17945536">
            <w:pPr>
              <w:adjustRightInd w:val="0"/>
              <w:snapToGrid w:val="0"/>
              <w:spacing w:beforeLines="20" w:line="360" w:lineRule="auto"/>
              <w:ind w:left="42" w:leftChars="20"/>
              <w:rPr>
                <w:rFonts w:ascii="宋体" w:hAnsi="宋体" w:cs="宋体"/>
                <w:szCs w:val="21"/>
              </w:rPr>
            </w:pPr>
            <w:r>
              <w:rPr>
                <w:rFonts w:hint="eastAsia" w:ascii="宋体" w:hAnsi="宋体" w:cs="宋体"/>
                <w:szCs w:val="21"/>
              </w:rPr>
              <w:t>递交投标文件的截止之日15日前，通过河南省公共资源交易中心等官方网站发放（提醒：各供应商应在下载招标文件后及时关注河南省公共资源交易中心等官方网站是否刊登本项目招标文件补充文件等资料，并自行下载，如由于供应商未看到并及时下载文件资料而带来 的风险，采购人不承担任何责任）</w:t>
            </w:r>
          </w:p>
        </w:tc>
      </w:tr>
      <w:tr w14:paraId="032A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shd w:val="clear" w:color="auto" w:fill="auto"/>
            <w:vAlign w:val="center"/>
          </w:tcPr>
          <w:p w14:paraId="39CADACE">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3.1.1</w:t>
            </w:r>
          </w:p>
        </w:tc>
        <w:tc>
          <w:tcPr>
            <w:tcW w:w="1845" w:type="dxa"/>
            <w:shd w:val="clear" w:color="auto" w:fill="auto"/>
            <w:vAlign w:val="center"/>
          </w:tcPr>
          <w:p w14:paraId="38EE1AB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构成投标文件的其他材料</w:t>
            </w:r>
          </w:p>
        </w:tc>
        <w:tc>
          <w:tcPr>
            <w:tcW w:w="6523" w:type="dxa"/>
            <w:shd w:val="clear" w:color="auto" w:fill="auto"/>
            <w:vAlign w:val="center"/>
          </w:tcPr>
          <w:p w14:paraId="7B6E686F">
            <w:pPr>
              <w:adjustRightInd w:val="0"/>
              <w:snapToGrid w:val="0"/>
              <w:spacing w:beforeLines="20" w:line="360" w:lineRule="auto"/>
              <w:ind w:left="42" w:leftChars="20"/>
              <w:rPr>
                <w:rFonts w:ascii="宋体" w:hAnsi="宋体" w:cs="宋体"/>
                <w:szCs w:val="21"/>
              </w:rPr>
            </w:pPr>
            <w:r>
              <w:rPr>
                <w:rFonts w:hint="eastAsia" w:ascii="宋体" w:hAnsi="宋体" w:cs="宋体"/>
                <w:szCs w:val="21"/>
              </w:rPr>
              <w:t>在招标期间发出的澄清（如有）、修改、补充、补遗和其它有效正式函件等内容均是招标文件的组成部分。</w:t>
            </w:r>
          </w:p>
        </w:tc>
      </w:tr>
      <w:tr w14:paraId="2C0E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shd w:val="clear" w:color="auto" w:fill="auto"/>
            <w:vAlign w:val="center"/>
          </w:tcPr>
          <w:p w14:paraId="3C75A89B">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3.2.5</w:t>
            </w:r>
          </w:p>
        </w:tc>
        <w:tc>
          <w:tcPr>
            <w:tcW w:w="1845" w:type="dxa"/>
            <w:shd w:val="clear" w:color="auto" w:fill="auto"/>
            <w:vAlign w:val="center"/>
          </w:tcPr>
          <w:p w14:paraId="0DD31212">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最高限价</w:t>
            </w:r>
          </w:p>
        </w:tc>
        <w:tc>
          <w:tcPr>
            <w:tcW w:w="6523" w:type="dxa"/>
            <w:shd w:val="clear" w:color="auto" w:fill="auto"/>
            <w:vAlign w:val="center"/>
          </w:tcPr>
          <w:p w14:paraId="56919A8A">
            <w:pPr>
              <w:adjustRightInd w:val="0"/>
              <w:snapToGrid w:val="0"/>
              <w:spacing w:beforeLines="20" w:line="360" w:lineRule="auto"/>
              <w:ind w:left="42" w:leftChars="20"/>
              <w:rPr>
                <w:rFonts w:ascii="宋体" w:hAnsi="宋体" w:cs="宋体"/>
                <w:szCs w:val="21"/>
              </w:rPr>
            </w:pPr>
            <w:r>
              <w:rPr>
                <w:rFonts w:hint="eastAsia" w:ascii="宋体" w:hAnsi="宋体" w:cs="宋体"/>
                <w:szCs w:val="21"/>
              </w:rPr>
              <w:t>劳务派遣服务管理费列入招标竞价范畴。最高限价为：</w:t>
            </w:r>
          </w:p>
          <w:p w14:paraId="6BF81EAA">
            <w:pPr>
              <w:adjustRightInd w:val="0"/>
              <w:snapToGrid w:val="0"/>
              <w:spacing w:beforeLines="20" w:line="360" w:lineRule="auto"/>
              <w:ind w:left="42" w:leftChars="20"/>
              <w:rPr>
                <w:rFonts w:ascii="宋体" w:hAnsi="宋体" w:cs="宋体"/>
                <w:b/>
                <w:bCs/>
                <w:szCs w:val="21"/>
              </w:rPr>
            </w:pPr>
            <w:r>
              <w:rPr>
                <w:rFonts w:hint="eastAsia" w:ascii="宋体" w:hAnsi="宋体" w:cs="宋体"/>
                <w:b/>
                <w:bCs/>
                <w:szCs w:val="21"/>
              </w:rPr>
              <w:t>5.7万元/年，折合每人每月为人民币50元</w:t>
            </w:r>
          </w:p>
          <w:p w14:paraId="75E71EA3">
            <w:pPr>
              <w:adjustRightInd w:val="0"/>
              <w:snapToGrid w:val="0"/>
              <w:spacing w:beforeLines="20" w:line="360" w:lineRule="auto"/>
              <w:ind w:left="42" w:leftChars="20"/>
              <w:rPr>
                <w:rFonts w:ascii="宋体" w:hAnsi="宋体" w:cs="宋体"/>
                <w:szCs w:val="21"/>
              </w:rPr>
            </w:pPr>
            <w:r>
              <w:rPr>
                <w:rFonts w:hint="eastAsia" w:ascii="宋体" w:hAnsi="宋体" w:cs="宋体"/>
                <w:szCs w:val="21"/>
              </w:rPr>
              <w:t>在本项目服务周期内，医院将根据实际劳务派遣人员的数量按月支付服务管理费，即实际派遣人员人数×服务管理费单价，均据实结算。</w:t>
            </w:r>
          </w:p>
          <w:p w14:paraId="113DAF36">
            <w:pPr>
              <w:adjustRightInd w:val="0"/>
              <w:snapToGrid w:val="0"/>
              <w:spacing w:beforeLines="20" w:line="360" w:lineRule="auto"/>
              <w:ind w:left="42" w:leftChars="20"/>
              <w:rPr>
                <w:rFonts w:ascii="宋体" w:hAnsi="宋体" w:cs="宋体"/>
                <w:szCs w:val="21"/>
              </w:rPr>
            </w:pPr>
            <w:r>
              <w:rPr>
                <w:rFonts w:hint="eastAsia" w:ascii="宋体" w:hAnsi="宋体" w:cs="宋体"/>
                <w:szCs w:val="21"/>
              </w:rPr>
              <w:t>注：供应商的投标报价超过最高限价的，</w:t>
            </w:r>
            <w:r>
              <w:rPr>
                <w:rFonts w:hint="eastAsia" w:ascii="宋体" w:hAnsi="宋体" w:cs="宋体"/>
                <w:b/>
                <w:bCs/>
                <w:szCs w:val="21"/>
              </w:rPr>
              <w:t>按无效投标处理。</w:t>
            </w:r>
          </w:p>
        </w:tc>
      </w:tr>
      <w:tr w14:paraId="3DF2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03" w:type="dxa"/>
            <w:shd w:val="clear" w:color="auto" w:fill="auto"/>
            <w:vAlign w:val="center"/>
          </w:tcPr>
          <w:p w14:paraId="381CD04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3.2.7</w:t>
            </w:r>
          </w:p>
        </w:tc>
        <w:tc>
          <w:tcPr>
            <w:tcW w:w="1845" w:type="dxa"/>
            <w:shd w:val="clear" w:color="auto" w:fill="auto"/>
            <w:vAlign w:val="center"/>
          </w:tcPr>
          <w:p w14:paraId="71678FF2">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投标报价的其他要求</w:t>
            </w:r>
          </w:p>
        </w:tc>
        <w:tc>
          <w:tcPr>
            <w:tcW w:w="6523" w:type="dxa"/>
            <w:shd w:val="clear" w:color="auto" w:fill="auto"/>
            <w:vAlign w:val="center"/>
          </w:tcPr>
          <w:p w14:paraId="5E6FC11E">
            <w:pPr>
              <w:adjustRightInd w:val="0"/>
              <w:snapToGrid w:val="0"/>
              <w:spacing w:beforeLines="20" w:line="360" w:lineRule="auto"/>
              <w:ind w:left="42" w:leftChars="20"/>
              <w:rPr>
                <w:rFonts w:ascii="宋体" w:hAnsi="宋体" w:cs="宋体"/>
                <w:szCs w:val="21"/>
              </w:rPr>
            </w:pPr>
            <w:r>
              <w:rPr>
                <w:rFonts w:hint="eastAsia" w:ascii="宋体" w:hAnsi="宋体" w:cs="宋体"/>
                <w:szCs w:val="21"/>
              </w:rPr>
              <w:t>本项目</w:t>
            </w:r>
            <w:r>
              <w:rPr>
                <w:rFonts w:hint="eastAsia" w:ascii="宋体" w:hAnsi="宋体" w:cs="宋体"/>
                <w:b/>
                <w:bCs/>
                <w:szCs w:val="21"/>
              </w:rPr>
              <w:t>一年服务期</w:t>
            </w:r>
            <w:r>
              <w:rPr>
                <w:rFonts w:hint="eastAsia" w:ascii="宋体" w:hAnsi="宋体" w:cs="宋体"/>
                <w:szCs w:val="21"/>
              </w:rPr>
              <w:t>总预算金额为：</w:t>
            </w:r>
          </w:p>
          <w:p w14:paraId="3195EFF3">
            <w:pPr>
              <w:adjustRightInd w:val="0"/>
              <w:snapToGrid w:val="0"/>
              <w:spacing w:beforeLines="20" w:line="360" w:lineRule="auto"/>
              <w:ind w:left="42" w:leftChars="20"/>
              <w:rPr>
                <w:rFonts w:ascii="宋体" w:hAnsi="宋体" w:cs="宋体"/>
                <w:szCs w:val="21"/>
              </w:rPr>
            </w:pPr>
            <w:r>
              <w:rPr>
                <w:rFonts w:hint="eastAsia" w:ascii="宋体" w:hAnsi="宋体" w:cs="宋体"/>
                <w:szCs w:val="21"/>
              </w:rPr>
              <w:t>大写：柒佰肆拾壹万元；小写：¥7,410,000.00元；</w:t>
            </w:r>
          </w:p>
          <w:p w14:paraId="08127E15">
            <w:pPr>
              <w:adjustRightInd w:val="0"/>
              <w:snapToGrid w:val="0"/>
              <w:spacing w:beforeLines="20" w:line="360" w:lineRule="auto"/>
              <w:ind w:left="42" w:leftChars="20"/>
              <w:rPr>
                <w:rFonts w:ascii="宋体" w:hAnsi="宋体" w:cs="宋体"/>
                <w:szCs w:val="21"/>
              </w:rPr>
            </w:pPr>
            <w:r>
              <w:rPr>
                <w:rFonts w:hint="eastAsia" w:ascii="宋体" w:hAnsi="宋体" w:cs="宋体"/>
                <w:szCs w:val="21"/>
              </w:rPr>
              <w:t>以上预算分为不列入招标竞价费用（含聘用劳务派遣人员的薪酬、社保、体检、工会福利等）和列入招标竞价费用（即：劳务派遣服务管理费）。</w:t>
            </w:r>
          </w:p>
          <w:p w14:paraId="64644D7B">
            <w:pPr>
              <w:adjustRightInd w:val="0"/>
              <w:snapToGrid w:val="0"/>
              <w:spacing w:beforeLines="20" w:line="360" w:lineRule="auto"/>
              <w:ind w:left="42" w:leftChars="20"/>
              <w:rPr>
                <w:rFonts w:ascii="宋体" w:hAnsi="宋体" w:cs="宋体"/>
                <w:szCs w:val="21"/>
              </w:rPr>
            </w:pPr>
            <w:r>
              <w:rPr>
                <w:rFonts w:hint="eastAsia" w:ascii="宋体" w:hAnsi="宋体" w:cs="宋体"/>
                <w:szCs w:val="21"/>
              </w:rPr>
              <w:t>（1）不可竞价费用为：</w:t>
            </w:r>
          </w:p>
          <w:p w14:paraId="44338D9B">
            <w:pPr>
              <w:adjustRightInd w:val="0"/>
              <w:snapToGrid w:val="0"/>
              <w:spacing w:beforeLines="20" w:line="360" w:lineRule="auto"/>
              <w:ind w:left="42" w:leftChars="20"/>
              <w:rPr>
                <w:rFonts w:ascii="宋体" w:hAnsi="宋体" w:cs="宋体"/>
                <w:b/>
                <w:bCs/>
                <w:szCs w:val="21"/>
              </w:rPr>
            </w:pPr>
            <w:r>
              <w:rPr>
                <w:rFonts w:hint="eastAsia" w:ascii="宋体" w:hAnsi="宋体" w:cs="宋体"/>
                <w:szCs w:val="21"/>
              </w:rPr>
              <w:t>不可竞价费用为劳务派遣人员薪酬（含社保部分）、体检、工会福利等合计735.3万元/年，折合人民币每人每月6450元，三年服务期薪酬（含社保部分）总预算为2205.9万元，不列入招标竞价范畴。供应商报价时按此金额报价，不得变更修改，否则将作</w:t>
            </w:r>
            <w:r>
              <w:rPr>
                <w:rFonts w:hint="eastAsia" w:ascii="宋体" w:hAnsi="宋体" w:cs="宋体"/>
                <w:b/>
                <w:bCs/>
                <w:szCs w:val="21"/>
              </w:rPr>
              <w:t>无效投标处理。</w:t>
            </w:r>
          </w:p>
          <w:p w14:paraId="274F7B8B">
            <w:pPr>
              <w:numPr>
                <w:ilvl w:val="0"/>
                <w:numId w:val="3"/>
              </w:numPr>
              <w:adjustRightInd w:val="0"/>
              <w:snapToGrid w:val="0"/>
              <w:spacing w:beforeLines="20" w:line="360" w:lineRule="auto"/>
              <w:ind w:left="42" w:leftChars="20"/>
              <w:rPr>
                <w:rFonts w:ascii="宋体" w:hAnsi="宋体" w:cs="宋体"/>
                <w:szCs w:val="21"/>
              </w:rPr>
            </w:pPr>
            <w:r>
              <w:rPr>
                <w:rFonts w:hint="eastAsia" w:ascii="宋体" w:hAnsi="宋体" w:cs="宋体"/>
                <w:szCs w:val="21"/>
              </w:rPr>
              <w:t>可竞价费用为：</w:t>
            </w:r>
          </w:p>
          <w:p w14:paraId="3A4ACDED">
            <w:pPr>
              <w:adjustRightInd w:val="0"/>
              <w:snapToGrid w:val="0"/>
              <w:spacing w:beforeLines="20" w:line="360" w:lineRule="auto"/>
              <w:ind w:left="42" w:leftChars="20"/>
              <w:rPr>
                <w:rFonts w:ascii="宋体" w:hAnsi="宋体" w:cs="宋体"/>
                <w:szCs w:val="21"/>
              </w:rPr>
            </w:pPr>
            <w:r>
              <w:rPr>
                <w:rFonts w:hint="eastAsia" w:ascii="宋体" w:hAnsi="宋体" w:cs="宋体"/>
                <w:szCs w:val="21"/>
              </w:rPr>
              <w:t>可竞价费用为劳务派遣服务管理费，列入招标竞价范畴。劳务派遣服务管理费最高限价5.7万元/年，折合每人每月为人民币50元，三年服务期的劳务派遣服务管理费总预算为17.1万元。</w:t>
            </w:r>
          </w:p>
          <w:p w14:paraId="0F0581D9">
            <w:pPr>
              <w:adjustRightInd w:val="0"/>
              <w:snapToGrid w:val="0"/>
              <w:spacing w:beforeLines="20" w:line="360" w:lineRule="auto"/>
              <w:ind w:left="42" w:leftChars="20"/>
              <w:rPr>
                <w:rFonts w:ascii="宋体" w:hAnsi="宋体" w:cs="宋体"/>
                <w:szCs w:val="21"/>
              </w:rPr>
            </w:pPr>
            <w:r>
              <w:rPr>
                <w:rFonts w:hint="eastAsia" w:ascii="宋体" w:hAnsi="宋体" w:cs="宋体"/>
                <w:szCs w:val="21"/>
              </w:rPr>
              <w:t>投标人的投标报价高于最高投标限价的视为无效报价。</w:t>
            </w:r>
          </w:p>
        </w:tc>
      </w:tr>
      <w:tr w14:paraId="236D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174A06B0">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3.3.1</w:t>
            </w:r>
          </w:p>
        </w:tc>
        <w:tc>
          <w:tcPr>
            <w:tcW w:w="1845" w:type="dxa"/>
            <w:vAlign w:val="center"/>
          </w:tcPr>
          <w:p w14:paraId="3E0B2361">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投标有效期</w:t>
            </w:r>
          </w:p>
        </w:tc>
        <w:tc>
          <w:tcPr>
            <w:tcW w:w="6523" w:type="dxa"/>
            <w:vAlign w:val="center"/>
          </w:tcPr>
          <w:p w14:paraId="7C96148D">
            <w:pPr>
              <w:adjustRightInd w:val="0"/>
              <w:snapToGrid w:val="0"/>
              <w:spacing w:beforeLines="20" w:line="360" w:lineRule="auto"/>
              <w:ind w:left="42" w:leftChars="20"/>
              <w:rPr>
                <w:rFonts w:ascii="宋体" w:hAnsi="宋体" w:cs="宋体"/>
                <w:szCs w:val="21"/>
              </w:rPr>
            </w:pPr>
            <w:r>
              <w:rPr>
                <w:rFonts w:hint="eastAsia" w:ascii="宋体" w:hAnsi="宋体" w:cs="宋体"/>
                <w:szCs w:val="21"/>
              </w:rPr>
              <w:t>投标文件递交截止之日起90日历天</w:t>
            </w:r>
          </w:p>
        </w:tc>
      </w:tr>
      <w:tr w14:paraId="3C54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003" w:type="dxa"/>
            <w:vAlign w:val="center"/>
          </w:tcPr>
          <w:p w14:paraId="299AA81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3.4</w:t>
            </w:r>
          </w:p>
        </w:tc>
        <w:tc>
          <w:tcPr>
            <w:tcW w:w="1845" w:type="dxa"/>
            <w:vAlign w:val="center"/>
          </w:tcPr>
          <w:p w14:paraId="56AF2F8E">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投标承诺函</w:t>
            </w:r>
          </w:p>
        </w:tc>
        <w:tc>
          <w:tcPr>
            <w:tcW w:w="6523" w:type="dxa"/>
            <w:vAlign w:val="center"/>
          </w:tcPr>
          <w:p w14:paraId="6931F762">
            <w:pPr>
              <w:adjustRightInd w:val="0"/>
              <w:snapToGrid w:val="0"/>
              <w:spacing w:beforeLines="20" w:line="360" w:lineRule="auto"/>
              <w:ind w:left="42" w:leftChars="20"/>
              <w:rPr>
                <w:rFonts w:ascii="宋体" w:hAnsi="宋体" w:cs="宋体"/>
                <w:szCs w:val="21"/>
              </w:rPr>
            </w:pPr>
            <w:r>
              <w:rPr>
                <w:rFonts w:hint="eastAsia" w:ascii="宋体" w:hAnsi="宋体" w:cs="宋体"/>
                <w:szCs w:val="21"/>
              </w:rPr>
              <w:t>根据《河南省财政厅关于优化政府采购营商环境有关问题的通知》【豫财购〔2019〕4号】文件的要求，本项目不收取投标保证金。供应商须在投标文件中以“投标承诺函”的形式替代投标保证金。</w:t>
            </w:r>
          </w:p>
        </w:tc>
      </w:tr>
      <w:tr w14:paraId="795E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vAlign w:val="center"/>
          </w:tcPr>
          <w:p w14:paraId="1DF9F060">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3.5</w:t>
            </w:r>
          </w:p>
        </w:tc>
        <w:tc>
          <w:tcPr>
            <w:tcW w:w="1845" w:type="dxa"/>
            <w:vAlign w:val="center"/>
          </w:tcPr>
          <w:p w14:paraId="7BEAB2FF">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资格审查资料 的特殊要求</w:t>
            </w:r>
          </w:p>
        </w:tc>
        <w:tc>
          <w:tcPr>
            <w:tcW w:w="6523" w:type="dxa"/>
            <w:vAlign w:val="center"/>
          </w:tcPr>
          <w:p w14:paraId="61D78EE1">
            <w:pPr>
              <w:adjustRightInd w:val="0"/>
              <w:snapToGrid w:val="0"/>
              <w:spacing w:beforeLines="20" w:line="360" w:lineRule="auto"/>
              <w:ind w:left="42" w:leftChars="20"/>
              <w:rPr>
                <w:rFonts w:ascii="宋体" w:hAnsi="宋体" w:cs="宋体"/>
                <w:szCs w:val="21"/>
              </w:rPr>
            </w:pPr>
            <w:r>
              <w:rPr>
                <w:rFonts w:hint="eastAsia" w:ascii="宋体" w:hAnsi="宋体" w:cs="宋体"/>
                <w:szCs w:val="21"/>
              </w:rPr>
              <w:t>无</w:t>
            </w:r>
          </w:p>
        </w:tc>
      </w:tr>
      <w:tr w14:paraId="7E14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3" w:type="dxa"/>
            <w:vAlign w:val="center"/>
          </w:tcPr>
          <w:p w14:paraId="028E74FC">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3.6.1</w:t>
            </w:r>
          </w:p>
        </w:tc>
        <w:tc>
          <w:tcPr>
            <w:tcW w:w="1845" w:type="dxa"/>
            <w:vAlign w:val="center"/>
          </w:tcPr>
          <w:p w14:paraId="696FC48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是否允许递交备选投标方案</w:t>
            </w:r>
          </w:p>
        </w:tc>
        <w:tc>
          <w:tcPr>
            <w:tcW w:w="6523" w:type="dxa"/>
            <w:vAlign w:val="center"/>
          </w:tcPr>
          <w:p w14:paraId="16A4321D">
            <w:pPr>
              <w:adjustRightInd w:val="0"/>
              <w:snapToGrid w:val="0"/>
              <w:spacing w:beforeLines="20" w:line="360" w:lineRule="auto"/>
              <w:ind w:left="42" w:leftChars="20"/>
              <w:rPr>
                <w:rFonts w:ascii="宋体" w:hAnsi="宋体" w:cs="宋体"/>
                <w:szCs w:val="21"/>
              </w:rPr>
            </w:pPr>
            <w:r>
              <w:rPr>
                <w:rFonts w:hint="eastAsia" w:ascii="宋体" w:hAnsi="宋体" w:cs="宋体"/>
                <w:szCs w:val="21"/>
              </w:rPr>
              <w:t>不允许</w:t>
            </w:r>
          </w:p>
        </w:tc>
      </w:tr>
      <w:tr w14:paraId="459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03" w:type="dxa"/>
            <w:vAlign w:val="center"/>
          </w:tcPr>
          <w:p w14:paraId="18923053">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3.7.3</w:t>
            </w:r>
          </w:p>
        </w:tc>
        <w:tc>
          <w:tcPr>
            <w:tcW w:w="1845" w:type="dxa"/>
            <w:shd w:val="clear" w:color="auto" w:fill="auto"/>
            <w:vAlign w:val="center"/>
          </w:tcPr>
          <w:p w14:paraId="6DFAD814">
            <w:pPr>
              <w:adjustRightInd w:val="0"/>
              <w:snapToGrid w:val="0"/>
              <w:spacing w:beforeLines="20" w:line="360" w:lineRule="auto"/>
              <w:ind w:left="42" w:leftChars="20"/>
              <w:jc w:val="center"/>
              <w:rPr>
                <w:rFonts w:ascii="宋体" w:hAnsi="宋体" w:cs="宋体"/>
                <w:b/>
                <w:bCs/>
                <w:szCs w:val="21"/>
              </w:rPr>
            </w:pPr>
            <w:r>
              <w:rPr>
                <w:rFonts w:hint="eastAsia" w:ascii="宋体" w:hAnsi="宋体" w:cs="宋体"/>
                <w:szCs w:val="21"/>
              </w:rPr>
              <w:t>签字和（或）盖章要求</w:t>
            </w:r>
          </w:p>
        </w:tc>
        <w:tc>
          <w:tcPr>
            <w:tcW w:w="6523" w:type="dxa"/>
            <w:shd w:val="clear" w:color="auto" w:fill="auto"/>
            <w:vAlign w:val="center"/>
          </w:tcPr>
          <w:p w14:paraId="2A294F1F">
            <w:pPr>
              <w:adjustRightInd w:val="0"/>
              <w:snapToGrid w:val="0"/>
              <w:spacing w:beforeLines="20" w:line="360" w:lineRule="auto"/>
              <w:ind w:left="42" w:leftChars="20"/>
              <w:jc w:val="left"/>
              <w:rPr>
                <w:rFonts w:ascii="宋体" w:hAnsi="宋体" w:cs="宋体"/>
                <w:szCs w:val="21"/>
              </w:rPr>
            </w:pPr>
            <w:r>
              <w:rPr>
                <w:rFonts w:hint="eastAsia" w:ascii="宋体" w:hAnsi="宋体" w:cs="宋体"/>
                <w:szCs w:val="21"/>
              </w:rPr>
              <w:t>（1）所有要求投标人加盖公章的地方都应用投标人单位的CA 印章。</w:t>
            </w:r>
          </w:p>
          <w:p w14:paraId="3C59F285">
            <w:pPr>
              <w:adjustRightInd w:val="0"/>
              <w:snapToGrid w:val="0"/>
              <w:spacing w:beforeLines="20" w:line="360" w:lineRule="auto"/>
              <w:ind w:left="42" w:leftChars="20"/>
              <w:jc w:val="left"/>
              <w:rPr>
                <w:rFonts w:ascii="宋体" w:hAnsi="宋体" w:cs="宋体"/>
                <w:szCs w:val="21"/>
              </w:rPr>
            </w:pPr>
            <w:r>
              <w:rPr>
                <w:rFonts w:hint="eastAsia" w:ascii="宋体" w:hAnsi="宋体" w:cs="宋体"/>
                <w:szCs w:val="21"/>
              </w:rPr>
              <w:t>（2）所有要求法定代表人签字的地方都应用法定代表人的CA 印章。</w:t>
            </w:r>
          </w:p>
          <w:p w14:paraId="4A1C0B9B">
            <w:pPr>
              <w:adjustRightInd w:val="0"/>
              <w:snapToGrid w:val="0"/>
              <w:spacing w:beforeLines="20" w:line="360" w:lineRule="auto"/>
              <w:ind w:left="42" w:leftChars="20"/>
              <w:jc w:val="left"/>
              <w:rPr>
                <w:rFonts w:ascii="宋体" w:hAnsi="宋体" w:cs="宋体"/>
                <w:b/>
                <w:bCs/>
                <w:szCs w:val="21"/>
              </w:rPr>
            </w:pPr>
            <w:r>
              <w:rPr>
                <w:rFonts w:hint="eastAsia" w:ascii="宋体" w:hAnsi="宋体" w:cs="宋体"/>
                <w:szCs w:val="21"/>
              </w:rPr>
              <w:t>（3）若有委托代理人，且委托代理人没有CA锁，则投标文件需上传有手写签名的扫描件。</w:t>
            </w:r>
          </w:p>
        </w:tc>
      </w:tr>
      <w:tr w14:paraId="72E3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14:paraId="59A4FCA7">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4.2.1</w:t>
            </w:r>
          </w:p>
        </w:tc>
        <w:tc>
          <w:tcPr>
            <w:tcW w:w="1845" w:type="dxa"/>
            <w:vAlign w:val="center"/>
          </w:tcPr>
          <w:p w14:paraId="1FB55BC5">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投标截止时间</w:t>
            </w:r>
          </w:p>
        </w:tc>
        <w:tc>
          <w:tcPr>
            <w:tcW w:w="6523" w:type="dxa"/>
            <w:vAlign w:val="center"/>
          </w:tcPr>
          <w:p w14:paraId="107709A6">
            <w:pPr>
              <w:adjustRightInd w:val="0"/>
              <w:snapToGrid w:val="0"/>
              <w:spacing w:beforeLines="20" w:line="360" w:lineRule="auto"/>
              <w:ind w:left="42" w:leftChars="20"/>
              <w:rPr>
                <w:rFonts w:ascii="宋体" w:hAnsi="宋体" w:cs="宋体"/>
                <w:szCs w:val="21"/>
              </w:rPr>
            </w:pPr>
            <w:r>
              <w:rPr>
                <w:rFonts w:hint="eastAsia" w:ascii="宋体" w:hAnsi="宋体"/>
                <w:bCs/>
                <w:szCs w:val="21"/>
              </w:rPr>
              <w:t>2025年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日9时00分</w:t>
            </w:r>
            <w:r>
              <w:rPr>
                <w:rFonts w:hint="eastAsia" w:ascii="宋体" w:hAnsi="宋体" w:cs="宋体"/>
                <w:szCs w:val="21"/>
              </w:rPr>
              <w:t>(北京时间)</w:t>
            </w:r>
          </w:p>
        </w:tc>
      </w:tr>
      <w:tr w14:paraId="1761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14:paraId="0EB4418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4.2.2</w:t>
            </w:r>
          </w:p>
        </w:tc>
        <w:tc>
          <w:tcPr>
            <w:tcW w:w="1845" w:type="dxa"/>
            <w:vAlign w:val="center"/>
          </w:tcPr>
          <w:p w14:paraId="58BECFFF">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投标文件的递交</w:t>
            </w:r>
          </w:p>
        </w:tc>
        <w:tc>
          <w:tcPr>
            <w:tcW w:w="6523" w:type="dxa"/>
            <w:vAlign w:val="center"/>
          </w:tcPr>
          <w:p w14:paraId="5D67678E">
            <w:pPr>
              <w:adjustRightInd w:val="0"/>
              <w:snapToGrid w:val="0"/>
              <w:spacing w:beforeLines="20" w:line="360" w:lineRule="auto"/>
              <w:ind w:left="42" w:leftChars="20"/>
              <w:rPr>
                <w:rFonts w:ascii="宋体" w:hAnsi="宋体" w:cs="宋体"/>
                <w:szCs w:val="21"/>
              </w:rPr>
            </w:pPr>
            <w:r>
              <w:rPr>
                <w:rFonts w:hint="eastAsia" w:ascii="宋体" w:hAnsi="宋体" w:cs="宋体"/>
                <w:szCs w:val="21"/>
              </w:rPr>
              <w:t>1、加密的电子投标文件（*.hntf格式），应在投标截止时间前上传至河南省公共资源交易中心系统（河南省公共资源“智慧交易”系统）。</w:t>
            </w:r>
          </w:p>
          <w:p w14:paraId="73E55E5A">
            <w:pPr>
              <w:adjustRightInd w:val="0"/>
              <w:snapToGrid w:val="0"/>
              <w:spacing w:beforeLines="20" w:line="360" w:lineRule="auto"/>
              <w:ind w:left="42" w:leftChars="20"/>
              <w:rPr>
                <w:rFonts w:ascii="宋体" w:hAnsi="宋体" w:cs="宋体"/>
                <w:szCs w:val="21"/>
              </w:rPr>
            </w:pPr>
            <w:r>
              <w:rPr>
                <w:rFonts w:hint="eastAsia" w:ascii="宋体" w:hAnsi="宋体" w:cs="宋体"/>
                <w:szCs w:val="21"/>
              </w:rPr>
              <w:t>2、本项目采用远程不见面开标方式，远程开标大厅的网址（http://hnsggzyjy.henan.gov.cn/BidOpening/bidopeninghallaction/hall/login）。供应商远程解密，无需到达开标现场，供应商必须在规定时间登陆系统持CA密钥对本单位的加密电子投标文件进行解密，在规定时间内投标文件未解密的供应商，视为放弃投标。不见面服务的具体事宜请查阅河南省公共资源交易中心网站“办事指南”专区的《新交易平台使用手册（培训资料）》。</w:t>
            </w:r>
          </w:p>
          <w:p w14:paraId="0E93DD74">
            <w:pPr>
              <w:adjustRightInd w:val="0"/>
              <w:snapToGrid w:val="0"/>
              <w:spacing w:beforeLines="20" w:line="360" w:lineRule="auto"/>
              <w:ind w:left="42" w:leftChars="20"/>
              <w:rPr>
                <w:rFonts w:ascii="宋体" w:hAnsi="宋体" w:cs="宋体"/>
                <w:szCs w:val="21"/>
              </w:rPr>
            </w:pPr>
            <w:r>
              <w:rPr>
                <w:rFonts w:hint="eastAsia" w:ascii="宋体" w:hAnsi="宋体" w:cs="宋体"/>
                <w:szCs w:val="21"/>
              </w:rPr>
              <w:t>a、各供应商应在投标截止时间前上传加密的电子投标文件（*.hntf） 到会员系统的指定位置。上传时必须得到电脑“上传成功”的确认回复。请供应商在上传时认真检查上传投标文件是否完整、正确。</w:t>
            </w:r>
          </w:p>
          <w:p w14:paraId="714E7160">
            <w:pPr>
              <w:adjustRightInd w:val="0"/>
              <w:snapToGrid w:val="0"/>
              <w:spacing w:beforeLines="20" w:line="360" w:lineRule="auto"/>
              <w:ind w:left="42" w:leftChars="20"/>
              <w:rPr>
                <w:rFonts w:ascii="宋体" w:hAnsi="宋体" w:cs="宋体"/>
                <w:b/>
                <w:bCs/>
                <w:szCs w:val="21"/>
              </w:rPr>
            </w:pPr>
            <w:r>
              <w:rPr>
                <w:rFonts w:hint="eastAsia" w:ascii="宋体" w:hAnsi="宋体" w:cs="宋体"/>
                <w:b/>
                <w:bCs/>
                <w:szCs w:val="21"/>
              </w:rPr>
              <w:t>b、资格审查证明文件须上传至河南省公共资源交易平台“资格审查资料”模块，因未上传至指定位置导致资格审查不通过的，由投标人自行承担责任。</w:t>
            </w:r>
          </w:p>
          <w:p w14:paraId="7355E01F">
            <w:pPr>
              <w:adjustRightInd w:val="0"/>
              <w:snapToGrid w:val="0"/>
              <w:spacing w:beforeLines="20" w:line="360" w:lineRule="auto"/>
              <w:ind w:left="42" w:leftChars="20"/>
              <w:rPr>
                <w:rFonts w:ascii="宋体" w:hAnsi="宋体" w:cs="宋体"/>
                <w:szCs w:val="21"/>
              </w:rPr>
            </w:pPr>
            <w:r>
              <w:rPr>
                <w:rFonts w:hint="eastAsia" w:ascii="宋体" w:hAnsi="宋体" w:cs="宋体"/>
                <w:szCs w:val="21"/>
              </w:rPr>
              <w:t>c、供应商因交易中心投标系统问题无法上传电子投标文件时，请在工作时间与河南省公共资源交易中心联系，联系电话：0371-86095925。</w:t>
            </w:r>
          </w:p>
        </w:tc>
      </w:tr>
      <w:tr w14:paraId="0C55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14:paraId="31403134">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4.2.3</w:t>
            </w:r>
          </w:p>
        </w:tc>
        <w:tc>
          <w:tcPr>
            <w:tcW w:w="1845" w:type="dxa"/>
            <w:vAlign w:val="center"/>
          </w:tcPr>
          <w:p w14:paraId="7E09892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是否退还投标文件</w:t>
            </w:r>
          </w:p>
        </w:tc>
        <w:tc>
          <w:tcPr>
            <w:tcW w:w="6523" w:type="dxa"/>
            <w:vAlign w:val="center"/>
          </w:tcPr>
          <w:p w14:paraId="7C311B47">
            <w:pPr>
              <w:adjustRightInd w:val="0"/>
              <w:snapToGrid w:val="0"/>
              <w:spacing w:beforeLines="20" w:line="360" w:lineRule="auto"/>
              <w:ind w:left="42" w:leftChars="20"/>
              <w:rPr>
                <w:rFonts w:ascii="宋体" w:hAnsi="宋体" w:cs="宋体"/>
                <w:szCs w:val="21"/>
              </w:rPr>
            </w:pPr>
            <w:r>
              <w:rPr>
                <w:rFonts w:hint="eastAsia" w:ascii="宋体" w:hAnsi="宋体" w:cs="宋体"/>
                <w:szCs w:val="21"/>
              </w:rPr>
              <w:t>否</w:t>
            </w:r>
          </w:p>
        </w:tc>
      </w:tr>
      <w:tr w14:paraId="4076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vAlign w:val="center"/>
          </w:tcPr>
          <w:p w14:paraId="16D33F62">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5.1.1</w:t>
            </w:r>
          </w:p>
        </w:tc>
        <w:tc>
          <w:tcPr>
            <w:tcW w:w="1845" w:type="dxa"/>
            <w:vAlign w:val="center"/>
          </w:tcPr>
          <w:p w14:paraId="51E532C4">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开标时间和地点</w:t>
            </w:r>
          </w:p>
        </w:tc>
        <w:tc>
          <w:tcPr>
            <w:tcW w:w="6523" w:type="dxa"/>
            <w:vAlign w:val="center"/>
          </w:tcPr>
          <w:p w14:paraId="1D14F550">
            <w:pPr>
              <w:adjustRightInd w:val="0"/>
              <w:snapToGrid w:val="0"/>
              <w:spacing w:beforeLines="20" w:line="360" w:lineRule="auto"/>
              <w:ind w:left="42" w:leftChars="20"/>
              <w:rPr>
                <w:rFonts w:ascii="宋体" w:hAnsi="宋体" w:cs="宋体"/>
                <w:szCs w:val="21"/>
              </w:rPr>
            </w:pPr>
            <w:r>
              <w:rPr>
                <w:rFonts w:hint="eastAsia" w:ascii="宋体" w:hAnsi="宋体" w:cs="宋体"/>
                <w:szCs w:val="21"/>
              </w:rPr>
              <w:t>开标时间：</w:t>
            </w:r>
            <w:r>
              <w:rPr>
                <w:rFonts w:hint="eastAsia" w:ascii="宋体" w:hAnsi="宋体"/>
                <w:bCs/>
                <w:szCs w:val="21"/>
              </w:rPr>
              <w:t>2025年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日9时00分</w:t>
            </w:r>
            <w:r>
              <w:rPr>
                <w:rFonts w:hint="eastAsia" w:ascii="宋体" w:hAnsi="宋体" w:cs="宋体"/>
                <w:szCs w:val="21"/>
              </w:rPr>
              <w:t>(北京时间)</w:t>
            </w:r>
          </w:p>
          <w:p w14:paraId="07F7B788">
            <w:pPr>
              <w:adjustRightInd w:val="0"/>
              <w:snapToGrid w:val="0"/>
              <w:spacing w:beforeLines="20" w:line="360" w:lineRule="auto"/>
              <w:ind w:left="42" w:leftChars="20"/>
              <w:rPr>
                <w:rFonts w:ascii="宋体" w:hAnsi="宋体" w:cs="宋体"/>
                <w:szCs w:val="21"/>
              </w:rPr>
            </w:pPr>
            <w:r>
              <w:rPr>
                <w:rFonts w:hint="eastAsia" w:ascii="宋体" w:hAnsi="宋体" w:cs="宋体"/>
                <w:szCs w:val="21"/>
              </w:rPr>
              <w:t>开标地点（远程开标机位地点）：河南省公共资源交易中心远程开标 室(</w:t>
            </w:r>
            <w:r>
              <w:rPr>
                <w:rFonts w:hint="eastAsia" w:ascii="宋体" w:hAnsi="宋体" w:cs="宋体"/>
                <w:szCs w:val="21"/>
                <w:lang w:eastAsia="zh-CN"/>
              </w:rPr>
              <w:t>三</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（河南省郑州市经二路 12 号（经二路与纬四路向南 50 米路 西））</w:t>
            </w:r>
          </w:p>
        </w:tc>
      </w:tr>
      <w:tr w14:paraId="5F1A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3" w:type="dxa"/>
            <w:vAlign w:val="center"/>
          </w:tcPr>
          <w:p w14:paraId="33F0718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5.2</w:t>
            </w:r>
          </w:p>
        </w:tc>
        <w:tc>
          <w:tcPr>
            <w:tcW w:w="1845" w:type="dxa"/>
            <w:vAlign w:val="center"/>
          </w:tcPr>
          <w:p w14:paraId="5F700650">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开标程序</w:t>
            </w:r>
          </w:p>
        </w:tc>
        <w:tc>
          <w:tcPr>
            <w:tcW w:w="6523" w:type="dxa"/>
            <w:vAlign w:val="center"/>
          </w:tcPr>
          <w:p w14:paraId="37C1BE55">
            <w:pPr>
              <w:adjustRightInd w:val="0"/>
              <w:snapToGrid w:val="0"/>
              <w:spacing w:beforeLines="20" w:line="360" w:lineRule="auto"/>
              <w:ind w:left="42" w:leftChars="20"/>
              <w:rPr>
                <w:rFonts w:ascii="宋体" w:hAnsi="宋体" w:cs="宋体"/>
                <w:szCs w:val="21"/>
              </w:rPr>
            </w:pPr>
            <w:r>
              <w:rPr>
                <w:rFonts w:hint="eastAsia" w:ascii="宋体" w:hAnsi="宋体" w:cs="宋体"/>
                <w:szCs w:val="21"/>
              </w:rPr>
              <w:t>按</w:t>
            </w:r>
            <w:r>
              <w:fldChar w:fldCharType="begin"/>
            </w:r>
            <w:r>
              <w:instrText xml:space="preserve"> HYPERLINK "http://www.hnggzy.net/hnweb/834dab66-d4b5-4fde-b432-57f2a6cfbfed/bf3c5326-fe15-423e-97c0-22d5363d66c6/河南省公共资源" </w:instrText>
            </w:r>
            <w:r>
              <w:fldChar w:fldCharType="separate"/>
            </w:r>
            <w:r>
              <w:rPr>
                <w:rFonts w:hint="eastAsia" w:ascii="宋体" w:hAnsi="宋体" w:cs="宋体"/>
                <w:szCs w:val="21"/>
              </w:rPr>
              <w:t>《河南省公共资源“智慧交易”平台操</w:t>
            </w:r>
            <w:r>
              <w:rPr>
                <w:rFonts w:hint="eastAsia" w:ascii="宋体" w:hAnsi="宋体" w:cs="宋体"/>
                <w:szCs w:val="21"/>
              </w:rPr>
              <w:fldChar w:fldCharType="end"/>
            </w:r>
            <w:r>
              <w:rPr>
                <w:rFonts w:hint="eastAsia" w:ascii="宋体" w:hAnsi="宋体" w:cs="宋体"/>
                <w:szCs w:val="21"/>
              </w:rPr>
              <w:t>作手册》开标程序执行。</w:t>
            </w:r>
          </w:p>
        </w:tc>
      </w:tr>
      <w:tr w14:paraId="7B17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vAlign w:val="center"/>
          </w:tcPr>
          <w:p w14:paraId="06AF677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6.2.1</w:t>
            </w:r>
          </w:p>
        </w:tc>
        <w:tc>
          <w:tcPr>
            <w:tcW w:w="1845" w:type="dxa"/>
            <w:vAlign w:val="center"/>
          </w:tcPr>
          <w:p w14:paraId="03E73B01">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评标委员会的组建</w:t>
            </w:r>
          </w:p>
        </w:tc>
        <w:tc>
          <w:tcPr>
            <w:tcW w:w="6523" w:type="dxa"/>
            <w:vAlign w:val="center"/>
          </w:tcPr>
          <w:p w14:paraId="0DA17EE7">
            <w:pPr>
              <w:adjustRightInd w:val="0"/>
              <w:snapToGrid w:val="0"/>
              <w:spacing w:beforeLines="20" w:line="360" w:lineRule="auto"/>
              <w:ind w:left="42" w:leftChars="20"/>
              <w:rPr>
                <w:rFonts w:ascii="宋体" w:hAnsi="宋体" w:cs="宋体"/>
                <w:szCs w:val="21"/>
              </w:rPr>
            </w:pPr>
            <w:r>
              <w:rPr>
                <w:rFonts w:hint="eastAsia" w:ascii="宋体" w:hAnsi="宋体" w:cs="宋体"/>
                <w:szCs w:val="21"/>
              </w:rPr>
              <w:t>评标委员会构成：5人，其中采购人代表 1人，有关专家 4 人；</w:t>
            </w:r>
          </w:p>
          <w:p w14:paraId="518D444B">
            <w:pPr>
              <w:adjustRightInd w:val="0"/>
              <w:snapToGrid w:val="0"/>
              <w:spacing w:beforeLines="20" w:line="360" w:lineRule="auto"/>
              <w:ind w:left="42" w:leftChars="20"/>
              <w:rPr>
                <w:rFonts w:ascii="宋体" w:hAnsi="宋体" w:cs="宋体"/>
                <w:szCs w:val="21"/>
              </w:rPr>
            </w:pPr>
            <w:r>
              <w:rPr>
                <w:rFonts w:hint="eastAsia" w:ascii="宋体" w:hAnsi="宋体" w:cs="宋体"/>
                <w:szCs w:val="21"/>
              </w:rPr>
              <w:t>评标专家确定方式：从河南省政府采购专家库中随机抽取。</w:t>
            </w:r>
          </w:p>
        </w:tc>
      </w:tr>
      <w:tr w14:paraId="1B68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3" w:type="dxa"/>
            <w:vAlign w:val="center"/>
          </w:tcPr>
          <w:p w14:paraId="0875BA71">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7.1</w:t>
            </w:r>
          </w:p>
        </w:tc>
        <w:tc>
          <w:tcPr>
            <w:tcW w:w="1845" w:type="dxa"/>
            <w:vAlign w:val="center"/>
          </w:tcPr>
          <w:p w14:paraId="38997F7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是否授权评标委员会确定中标人</w:t>
            </w:r>
          </w:p>
        </w:tc>
        <w:tc>
          <w:tcPr>
            <w:tcW w:w="6523" w:type="dxa"/>
            <w:vAlign w:val="center"/>
          </w:tcPr>
          <w:p w14:paraId="08C92206">
            <w:pPr>
              <w:adjustRightInd w:val="0"/>
              <w:snapToGrid w:val="0"/>
              <w:spacing w:beforeLines="20" w:line="360" w:lineRule="auto"/>
              <w:ind w:left="42" w:leftChars="20"/>
              <w:rPr>
                <w:rFonts w:ascii="宋体" w:hAnsi="宋体" w:cs="宋体"/>
                <w:szCs w:val="21"/>
              </w:rPr>
            </w:pPr>
            <w:r>
              <w:rPr>
                <w:rFonts w:hint="eastAsia" w:ascii="宋体" w:hAnsi="宋体" w:cs="宋体"/>
                <w:szCs w:val="21"/>
              </w:rPr>
              <w:t>否，推荐中标候选人3名</w:t>
            </w:r>
          </w:p>
        </w:tc>
      </w:tr>
      <w:tr w14:paraId="7B75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03" w:type="dxa"/>
            <w:vAlign w:val="center"/>
          </w:tcPr>
          <w:p w14:paraId="35DC4CF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7.2</w:t>
            </w:r>
          </w:p>
        </w:tc>
        <w:tc>
          <w:tcPr>
            <w:tcW w:w="1845" w:type="dxa"/>
            <w:vAlign w:val="center"/>
          </w:tcPr>
          <w:p w14:paraId="50B817F7">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中标、成交结果公告媒介及期限</w:t>
            </w:r>
          </w:p>
        </w:tc>
        <w:tc>
          <w:tcPr>
            <w:tcW w:w="6523" w:type="dxa"/>
            <w:vAlign w:val="center"/>
          </w:tcPr>
          <w:p w14:paraId="330B3034">
            <w:pPr>
              <w:adjustRightInd w:val="0"/>
              <w:snapToGrid w:val="0"/>
              <w:spacing w:beforeLines="20" w:line="360" w:lineRule="auto"/>
              <w:ind w:left="42" w:leftChars="20"/>
              <w:rPr>
                <w:rFonts w:ascii="宋体" w:hAnsi="宋体" w:cs="宋体"/>
                <w:szCs w:val="21"/>
              </w:rPr>
            </w:pPr>
            <w:r>
              <w:rPr>
                <w:rFonts w:hint="eastAsia" w:ascii="宋体" w:hAnsi="宋体" w:cs="宋体"/>
                <w:szCs w:val="21"/>
              </w:rPr>
              <w:t>公告媒介：原招标公告发布媒体</w:t>
            </w:r>
          </w:p>
          <w:p w14:paraId="256151B0">
            <w:pPr>
              <w:adjustRightInd w:val="0"/>
              <w:snapToGrid w:val="0"/>
              <w:spacing w:beforeLines="20" w:line="360" w:lineRule="auto"/>
              <w:ind w:left="42" w:leftChars="20"/>
              <w:rPr>
                <w:rFonts w:ascii="宋体" w:hAnsi="宋体" w:cs="宋体"/>
                <w:szCs w:val="21"/>
              </w:rPr>
            </w:pPr>
            <w:r>
              <w:rPr>
                <w:rFonts w:hint="eastAsia" w:ascii="宋体" w:hAnsi="宋体" w:cs="宋体"/>
                <w:szCs w:val="21"/>
              </w:rPr>
              <w:t>公告期限：一个工作日</w:t>
            </w:r>
          </w:p>
        </w:tc>
      </w:tr>
      <w:tr w14:paraId="6B8D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03" w:type="dxa"/>
            <w:vAlign w:val="center"/>
          </w:tcPr>
          <w:p w14:paraId="0A04610E">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7.4</w:t>
            </w:r>
          </w:p>
        </w:tc>
        <w:tc>
          <w:tcPr>
            <w:tcW w:w="1845" w:type="dxa"/>
            <w:vAlign w:val="center"/>
          </w:tcPr>
          <w:p w14:paraId="01BB927C">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履约保证金</w:t>
            </w:r>
          </w:p>
        </w:tc>
        <w:tc>
          <w:tcPr>
            <w:tcW w:w="6523" w:type="dxa"/>
            <w:vAlign w:val="center"/>
          </w:tcPr>
          <w:p w14:paraId="52F6B8C0">
            <w:pPr>
              <w:adjustRightInd w:val="0"/>
              <w:snapToGrid w:val="0"/>
              <w:spacing w:beforeLines="20" w:line="360" w:lineRule="auto"/>
              <w:ind w:left="42" w:leftChars="20"/>
              <w:rPr>
                <w:rFonts w:ascii="宋体" w:hAnsi="宋体" w:cs="宋体"/>
                <w:szCs w:val="21"/>
              </w:rPr>
            </w:pPr>
            <w:r>
              <w:rPr>
                <w:rFonts w:hint="eastAsia" w:ascii="宋体" w:hAnsi="宋体" w:cs="宋体"/>
                <w:szCs w:val="21"/>
              </w:rPr>
              <w:t>缴纳金额：人民币</w:t>
            </w:r>
            <w:r>
              <w:rPr>
                <w:rFonts w:hint="eastAsia" w:ascii="宋体" w:hAnsi="宋体" w:cs="宋体"/>
                <w:szCs w:val="21"/>
                <w:lang w:eastAsia="zh-CN"/>
              </w:rPr>
              <w:t>伍</w:t>
            </w:r>
            <w:r>
              <w:rPr>
                <w:rFonts w:hint="eastAsia" w:ascii="宋体" w:hAnsi="宋体" w:cs="宋体"/>
                <w:szCs w:val="21"/>
              </w:rPr>
              <w:t>万元整（¥</w:t>
            </w:r>
            <w:r>
              <w:rPr>
                <w:rFonts w:hint="eastAsia" w:ascii="宋体" w:hAnsi="宋体" w:cs="宋体"/>
                <w:szCs w:val="21"/>
                <w:lang w:val="en-US" w:eastAsia="zh-CN"/>
              </w:rPr>
              <w:t>5</w:t>
            </w:r>
            <w:r>
              <w:rPr>
                <w:rFonts w:hint="eastAsia" w:ascii="宋体" w:hAnsi="宋体" w:cs="宋体"/>
                <w:szCs w:val="21"/>
              </w:rPr>
              <w:t>0000.00元）</w:t>
            </w:r>
          </w:p>
          <w:p w14:paraId="69A54AE4">
            <w:pPr>
              <w:adjustRightInd w:val="0"/>
              <w:snapToGrid w:val="0"/>
              <w:spacing w:beforeLines="20" w:line="360" w:lineRule="auto"/>
              <w:ind w:left="42" w:leftChars="20"/>
              <w:rPr>
                <w:rFonts w:ascii="宋体" w:hAnsi="宋体" w:cs="宋体"/>
                <w:szCs w:val="21"/>
              </w:rPr>
            </w:pPr>
            <w:r>
              <w:rPr>
                <w:rFonts w:hint="eastAsia" w:ascii="宋体" w:hAnsi="宋体" w:cs="宋体"/>
                <w:szCs w:val="21"/>
              </w:rPr>
              <w:t>缴纳时间：中标通知书发出后，服务合同签订前</w:t>
            </w:r>
          </w:p>
          <w:p w14:paraId="076C0952">
            <w:pPr>
              <w:adjustRightInd w:val="0"/>
              <w:snapToGrid w:val="0"/>
              <w:spacing w:beforeLines="20" w:line="360" w:lineRule="auto"/>
              <w:ind w:left="42" w:leftChars="20"/>
              <w:rPr>
                <w:rFonts w:ascii="宋体" w:hAnsi="宋体" w:cs="宋体"/>
                <w:szCs w:val="21"/>
              </w:rPr>
            </w:pPr>
            <w:r>
              <w:rPr>
                <w:rFonts w:hint="eastAsia" w:ascii="宋体" w:hAnsi="宋体" w:cs="宋体"/>
                <w:szCs w:val="21"/>
              </w:rPr>
              <w:t>缴纳方式：转账（支票、电汇）</w:t>
            </w:r>
          </w:p>
          <w:p w14:paraId="3DF28316">
            <w:pPr>
              <w:adjustRightInd w:val="0"/>
              <w:snapToGrid w:val="0"/>
              <w:spacing w:beforeLines="20" w:line="360" w:lineRule="auto"/>
              <w:ind w:left="42" w:leftChars="20"/>
              <w:rPr>
                <w:rFonts w:ascii="宋体" w:hAnsi="宋体" w:cs="宋体"/>
                <w:szCs w:val="21"/>
              </w:rPr>
            </w:pPr>
            <w:r>
              <w:rPr>
                <w:rFonts w:hint="eastAsia" w:ascii="宋体" w:hAnsi="宋体" w:cs="宋体"/>
                <w:szCs w:val="21"/>
              </w:rPr>
              <w:t>退还：履约保证金于服务期满后经采购人考核服务质量合格后 30日内无息退还。</w:t>
            </w:r>
          </w:p>
        </w:tc>
      </w:tr>
      <w:tr w14:paraId="132E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vAlign w:val="center"/>
          </w:tcPr>
          <w:p w14:paraId="0542C06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7.5.4</w:t>
            </w:r>
          </w:p>
        </w:tc>
        <w:tc>
          <w:tcPr>
            <w:tcW w:w="1845" w:type="dxa"/>
            <w:vAlign w:val="center"/>
          </w:tcPr>
          <w:p w14:paraId="5882D0B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劳务派遣管理费支付方式</w:t>
            </w:r>
          </w:p>
        </w:tc>
        <w:tc>
          <w:tcPr>
            <w:tcW w:w="6523" w:type="dxa"/>
            <w:vAlign w:val="center"/>
          </w:tcPr>
          <w:p w14:paraId="474AACC8">
            <w:pPr>
              <w:adjustRightInd w:val="0"/>
              <w:snapToGrid w:val="0"/>
              <w:spacing w:beforeLines="20" w:line="360" w:lineRule="auto"/>
              <w:ind w:left="42" w:leftChars="20"/>
              <w:rPr>
                <w:rFonts w:ascii="宋体" w:hAnsi="宋体" w:cs="宋体"/>
                <w:szCs w:val="21"/>
              </w:rPr>
            </w:pPr>
            <w:r>
              <w:rPr>
                <w:rFonts w:hint="eastAsia" w:ascii="宋体" w:hAnsi="宋体" w:cs="宋体"/>
                <w:szCs w:val="21"/>
              </w:rPr>
              <w:t>劳务派遣公司收到医院确认的《劳务用工劳务费结算表》后，及时开具劳务费发票送达采购人，医院在收到劳务派遣公司的发票后，于每月20日前（如遇国家法定节假日或特殊情况，可顺延7天）将上月应支付的服务管理费、派遣员工的工资及保险费用转入劳务派遣公司账户，劳务派遣公司在收到采购人的劳务费后，不超过3个工作日按时足额的发放被派遣者劳务报酬。</w:t>
            </w:r>
          </w:p>
        </w:tc>
      </w:tr>
      <w:tr w14:paraId="2B72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71" w:type="dxa"/>
            <w:gridSpan w:val="3"/>
            <w:vAlign w:val="center"/>
          </w:tcPr>
          <w:p w14:paraId="0A8A40B5">
            <w:pPr>
              <w:wordWrap w:val="0"/>
              <w:adjustRightInd w:val="0"/>
              <w:snapToGrid w:val="0"/>
              <w:spacing w:beforeLines="20" w:line="360" w:lineRule="auto"/>
              <w:ind w:left="42" w:leftChars="20"/>
              <w:rPr>
                <w:rFonts w:ascii="宋体" w:hAnsi="宋体" w:cs="宋体"/>
                <w:szCs w:val="21"/>
                <w:shd w:val="clear" w:color="auto" w:fill="FFFFFF"/>
              </w:rPr>
            </w:pPr>
            <w:r>
              <w:rPr>
                <w:rFonts w:hint="eastAsia" w:ascii="宋体" w:hAnsi="宋体" w:cs="宋体"/>
                <w:spacing w:val="-4"/>
                <w:szCs w:val="21"/>
              </w:rPr>
              <w:t>10.需要补充的其他内容</w:t>
            </w:r>
          </w:p>
        </w:tc>
      </w:tr>
      <w:tr w14:paraId="222F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5DDEECF1">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10.1</w:t>
            </w:r>
          </w:p>
        </w:tc>
        <w:tc>
          <w:tcPr>
            <w:tcW w:w="1845" w:type="dxa"/>
            <w:shd w:val="clear" w:color="auto" w:fill="auto"/>
            <w:vAlign w:val="center"/>
          </w:tcPr>
          <w:p w14:paraId="6C0B58B0">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投标费用</w:t>
            </w:r>
          </w:p>
        </w:tc>
        <w:tc>
          <w:tcPr>
            <w:tcW w:w="6523" w:type="dxa"/>
            <w:shd w:val="clear" w:color="auto" w:fill="auto"/>
            <w:vAlign w:val="center"/>
          </w:tcPr>
          <w:p w14:paraId="6F5C938C">
            <w:pPr>
              <w:adjustRightInd w:val="0"/>
              <w:snapToGrid w:val="0"/>
              <w:spacing w:beforeLines="20" w:line="360" w:lineRule="auto"/>
              <w:ind w:left="42" w:leftChars="20"/>
              <w:rPr>
                <w:rFonts w:ascii="宋体" w:hAnsi="宋体" w:cs="宋体"/>
                <w:szCs w:val="21"/>
              </w:rPr>
            </w:pPr>
            <w:r>
              <w:rPr>
                <w:rFonts w:hint="eastAsia" w:ascii="宋体" w:hAnsi="宋体" w:cs="宋体"/>
                <w:szCs w:val="21"/>
              </w:rPr>
              <w:t>1. 供应商准备和参加投标活动发生的费用自理。在任何情况下采购 人和采购代理机构对上述费用均不承担任何责任。</w:t>
            </w:r>
          </w:p>
          <w:p w14:paraId="3E76E3DE">
            <w:pPr>
              <w:adjustRightInd w:val="0"/>
              <w:snapToGrid w:val="0"/>
              <w:spacing w:beforeLines="20" w:line="360" w:lineRule="auto"/>
              <w:ind w:left="42" w:leftChars="20"/>
              <w:rPr>
                <w:rFonts w:ascii="宋体" w:hAnsi="宋体" w:cs="宋体"/>
                <w:szCs w:val="21"/>
              </w:rPr>
            </w:pPr>
            <w:r>
              <w:rPr>
                <w:rFonts w:hint="eastAsia" w:ascii="宋体" w:hAnsi="宋体" w:cs="宋体"/>
                <w:szCs w:val="21"/>
              </w:rPr>
              <w:t>2. 本项目招标代理服务费</w:t>
            </w:r>
            <w:r>
              <w:rPr>
                <w:rFonts w:hint="eastAsia" w:ascii="宋体" w:hAnsi="宋体" w:cs="宋体"/>
                <w:szCs w:val="21"/>
                <w:lang w:eastAsia="zh-CN"/>
              </w:rPr>
              <w:t>为</w:t>
            </w:r>
            <w:r>
              <w:rPr>
                <w:rFonts w:hint="eastAsia" w:ascii="宋体" w:hAnsi="宋体" w:cs="宋体"/>
                <w:color w:val="auto"/>
                <w:szCs w:val="21"/>
                <w:highlight w:val="none"/>
                <w:shd w:val="clear"/>
                <w:lang w:eastAsia="zh-CN"/>
              </w:rPr>
              <w:t>人民币</w:t>
            </w:r>
            <w:r>
              <w:rPr>
                <w:rFonts w:hint="eastAsia" w:ascii="宋体" w:hAnsi="宋体" w:cs="宋体"/>
                <w:color w:val="auto"/>
                <w:szCs w:val="21"/>
                <w:highlight w:val="none"/>
                <w:shd w:val="clear"/>
                <w:lang w:val="en-US" w:eastAsia="zh-CN"/>
              </w:rPr>
              <w:t>10000元</w:t>
            </w:r>
            <w:r>
              <w:rPr>
                <w:rFonts w:hint="eastAsia" w:ascii="宋体" w:hAnsi="宋体" w:cs="宋体"/>
                <w:color w:val="auto"/>
                <w:szCs w:val="21"/>
                <w:highlight w:val="none"/>
                <w:shd w:val="clear"/>
              </w:rPr>
              <w:t>，</w:t>
            </w:r>
            <w:r>
              <w:rPr>
                <w:rFonts w:hint="eastAsia" w:ascii="宋体" w:hAnsi="宋体" w:cs="宋体"/>
                <w:szCs w:val="21"/>
              </w:rPr>
              <w:t>由中标人领取中标通知书时向代理机构缴纳。</w:t>
            </w:r>
          </w:p>
        </w:tc>
      </w:tr>
      <w:tr w14:paraId="6291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3" w:type="dxa"/>
            <w:shd w:val="clear" w:color="auto" w:fill="auto"/>
            <w:vAlign w:val="center"/>
          </w:tcPr>
          <w:p w14:paraId="67E201CE">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10.2</w:t>
            </w:r>
          </w:p>
        </w:tc>
        <w:tc>
          <w:tcPr>
            <w:tcW w:w="1845" w:type="dxa"/>
            <w:shd w:val="clear" w:color="auto" w:fill="auto"/>
            <w:vAlign w:val="center"/>
          </w:tcPr>
          <w:p w14:paraId="6EF5490B">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知识产权</w:t>
            </w:r>
          </w:p>
        </w:tc>
        <w:tc>
          <w:tcPr>
            <w:tcW w:w="6523" w:type="dxa"/>
            <w:shd w:val="clear" w:color="auto" w:fill="auto"/>
            <w:vAlign w:val="center"/>
          </w:tcPr>
          <w:p w14:paraId="6A8F981D">
            <w:pPr>
              <w:adjustRightInd w:val="0"/>
              <w:snapToGrid w:val="0"/>
              <w:spacing w:beforeLines="20" w:line="360" w:lineRule="auto"/>
              <w:ind w:left="42" w:leftChars="20"/>
              <w:rPr>
                <w:rFonts w:ascii="宋体" w:hAnsi="宋体" w:cs="宋体"/>
                <w:szCs w:val="21"/>
              </w:rPr>
            </w:pPr>
            <w:r>
              <w:rPr>
                <w:rFonts w:hint="eastAsia" w:ascii="宋体" w:hAnsi="宋体" w:cs="宋体"/>
                <w:szCs w:val="21"/>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05FD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149081E2">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10.3</w:t>
            </w:r>
          </w:p>
        </w:tc>
        <w:tc>
          <w:tcPr>
            <w:tcW w:w="1845" w:type="dxa"/>
            <w:shd w:val="clear" w:color="auto" w:fill="auto"/>
            <w:vAlign w:val="center"/>
          </w:tcPr>
          <w:p w14:paraId="4F366855">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质疑函接收</w:t>
            </w:r>
          </w:p>
        </w:tc>
        <w:tc>
          <w:tcPr>
            <w:tcW w:w="6523" w:type="dxa"/>
            <w:shd w:val="clear" w:color="auto" w:fill="auto"/>
            <w:vAlign w:val="center"/>
          </w:tcPr>
          <w:p w14:paraId="051C5DDF">
            <w:pPr>
              <w:adjustRightInd w:val="0"/>
              <w:snapToGrid w:val="0"/>
              <w:spacing w:beforeLines="20" w:line="360" w:lineRule="auto"/>
              <w:ind w:left="42" w:leftChars="20"/>
              <w:rPr>
                <w:rFonts w:ascii="宋体" w:hAnsi="宋体" w:cs="宋体"/>
                <w:szCs w:val="21"/>
              </w:rPr>
            </w:pPr>
            <w:r>
              <w:rPr>
                <w:rFonts w:hint="eastAsia" w:ascii="宋体" w:hAnsi="宋体" w:cs="宋体"/>
                <w:szCs w:val="21"/>
              </w:rPr>
              <w:t>（1）针对同一采购程序环节的质疑次数：一次性提出，多次提出质疑的不予受理。</w:t>
            </w:r>
          </w:p>
          <w:p w14:paraId="54DBA158">
            <w:pPr>
              <w:adjustRightInd w:val="0"/>
              <w:snapToGrid w:val="0"/>
              <w:spacing w:beforeLines="20" w:line="360" w:lineRule="auto"/>
              <w:ind w:left="42" w:leftChars="20"/>
              <w:rPr>
                <w:rFonts w:ascii="宋体" w:hAnsi="宋体" w:cs="宋体"/>
                <w:szCs w:val="21"/>
              </w:rPr>
            </w:pPr>
            <w:r>
              <w:rPr>
                <w:rFonts w:hint="eastAsia" w:ascii="宋体" w:hAnsi="宋体" w:cs="宋体"/>
                <w:szCs w:val="21"/>
              </w:rPr>
              <w:t>（2）投标人认为招标文件、采购过程和中标结果使自己的权益受到损害的，可以在知道或者应知其权益受到损害之日起七个工作日内，按照政府采购质疑和投诉办法（中华人民共和国财政部令94号）以书面实名形式向采购人或采购代理机构一次性提出质疑（邮寄件、传真件不予受理），质疑函及授权委托书应按规定签字并加盖公章逾期不再接收,质疑函见附件5。</w:t>
            </w:r>
          </w:p>
          <w:p w14:paraId="5B0D8F8A">
            <w:pPr>
              <w:adjustRightInd w:val="0"/>
              <w:snapToGrid w:val="0"/>
              <w:spacing w:beforeLines="20" w:line="360" w:lineRule="auto"/>
              <w:ind w:left="42" w:leftChars="20"/>
              <w:rPr>
                <w:rFonts w:ascii="宋体" w:hAnsi="宋体" w:cs="宋体"/>
                <w:szCs w:val="21"/>
              </w:rPr>
            </w:pPr>
            <w:r>
              <w:rPr>
                <w:rFonts w:hint="eastAsia" w:ascii="宋体" w:hAnsi="宋体" w:cs="宋体"/>
                <w:szCs w:val="21"/>
              </w:rPr>
              <w:t xml:space="preserve">（3）对招标文件质疑函递交方式：公共资源交易中心系统内递交； </w:t>
            </w:r>
          </w:p>
          <w:p w14:paraId="30795F20">
            <w:pPr>
              <w:adjustRightInd w:val="0"/>
              <w:snapToGrid w:val="0"/>
              <w:spacing w:beforeLines="20" w:line="360" w:lineRule="auto"/>
              <w:ind w:left="42" w:leftChars="20"/>
              <w:rPr>
                <w:rFonts w:ascii="宋体" w:hAnsi="宋体" w:cs="宋体"/>
                <w:szCs w:val="21"/>
              </w:rPr>
            </w:pPr>
            <w:r>
              <w:rPr>
                <w:rFonts w:hint="eastAsia" w:ascii="宋体" w:hAnsi="宋体" w:cs="宋体"/>
                <w:szCs w:val="21"/>
              </w:rPr>
              <w:t>对采购过程、中标结果质疑函的递交方式：书面形式且当面递交。</w:t>
            </w:r>
          </w:p>
          <w:p w14:paraId="69AFD9AD">
            <w:pPr>
              <w:adjustRightInd w:val="0"/>
              <w:snapToGrid w:val="0"/>
              <w:spacing w:beforeLines="20" w:line="360" w:lineRule="auto"/>
              <w:ind w:left="42" w:leftChars="20"/>
              <w:rPr>
                <w:rFonts w:ascii="宋体" w:hAnsi="宋体" w:cs="宋体"/>
                <w:szCs w:val="21"/>
              </w:rPr>
            </w:pPr>
            <w:r>
              <w:rPr>
                <w:rFonts w:hint="eastAsia" w:ascii="宋体" w:hAnsi="宋体" w:cs="宋体"/>
                <w:szCs w:val="21"/>
              </w:rPr>
              <w:t>（4）质疑函接收部门、联系电话和通讯地址：</w:t>
            </w:r>
          </w:p>
          <w:p w14:paraId="0140DBA4">
            <w:pPr>
              <w:adjustRightInd w:val="0"/>
              <w:snapToGrid w:val="0"/>
              <w:spacing w:beforeLines="20" w:line="360" w:lineRule="auto"/>
              <w:ind w:left="42" w:leftChars="20"/>
              <w:rPr>
                <w:rFonts w:ascii="宋体" w:hAnsi="宋体" w:cs="宋体"/>
                <w:szCs w:val="21"/>
              </w:rPr>
            </w:pPr>
            <w:r>
              <w:rPr>
                <w:rFonts w:hint="eastAsia" w:ascii="宋体" w:hAnsi="宋体" w:cs="宋体"/>
                <w:szCs w:val="21"/>
              </w:rPr>
              <w:t>接收质疑函联系部门：中建山河建设管理集团有限公司</w:t>
            </w:r>
          </w:p>
          <w:p w14:paraId="7B996E35">
            <w:pPr>
              <w:adjustRightInd w:val="0"/>
              <w:snapToGrid w:val="0"/>
              <w:spacing w:beforeLines="20" w:line="360" w:lineRule="auto"/>
              <w:ind w:left="42" w:leftChars="20"/>
              <w:rPr>
                <w:rFonts w:ascii="宋体" w:hAnsi="宋体" w:cs="宋体"/>
                <w:szCs w:val="21"/>
              </w:rPr>
            </w:pPr>
            <w:r>
              <w:rPr>
                <w:rFonts w:hint="eastAsia" w:ascii="宋体" w:hAnsi="宋体" w:cs="宋体"/>
                <w:szCs w:val="21"/>
              </w:rPr>
              <w:t>联系电话：0371-86556161</w:t>
            </w:r>
          </w:p>
          <w:p w14:paraId="0E54A5EC">
            <w:pPr>
              <w:adjustRightInd w:val="0"/>
              <w:snapToGrid w:val="0"/>
              <w:spacing w:beforeLines="20" w:line="360" w:lineRule="auto"/>
              <w:ind w:left="42" w:leftChars="20"/>
              <w:rPr>
                <w:rFonts w:ascii="宋体" w:hAnsi="宋体" w:cs="宋体"/>
                <w:szCs w:val="21"/>
              </w:rPr>
            </w:pPr>
            <w:r>
              <w:rPr>
                <w:rFonts w:hint="eastAsia" w:ascii="宋体" w:hAnsi="宋体" w:cs="宋体"/>
                <w:szCs w:val="21"/>
              </w:rPr>
              <w:t>通讯地址：郑州市郑东新区七里河南路与圃田西路交叉口明亮集团大楼三楼312室</w:t>
            </w:r>
          </w:p>
        </w:tc>
      </w:tr>
      <w:tr w14:paraId="2C8A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611F80D6">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10.4</w:t>
            </w:r>
          </w:p>
        </w:tc>
        <w:tc>
          <w:tcPr>
            <w:tcW w:w="1845" w:type="dxa"/>
            <w:shd w:val="clear" w:color="auto" w:fill="auto"/>
            <w:vAlign w:val="center"/>
          </w:tcPr>
          <w:p w14:paraId="19126CDF">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解释权</w:t>
            </w:r>
          </w:p>
        </w:tc>
        <w:tc>
          <w:tcPr>
            <w:tcW w:w="6523" w:type="dxa"/>
            <w:shd w:val="clear" w:color="auto" w:fill="auto"/>
            <w:vAlign w:val="center"/>
          </w:tcPr>
          <w:p w14:paraId="18AA4D55">
            <w:pPr>
              <w:adjustRightInd w:val="0"/>
              <w:snapToGrid w:val="0"/>
              <w:spacing w:beforeLines="20" w:line="360" w:lineRule="auto"/>
              <w:ind w:left="42" w:leftChars="20"/>
              <w:rPr>
                <w:rFonts w:ascii="宋体" w:hAnsi="宋体" w:cs="宋体"/>
                <w:szCs w:val="21"/>
              </w:rPr>
            </w:pPr>
            <w:r>
              <w:rPr>
                <w:rFonts w:hint="eastAsia" w:ascii="宋体" w:hAnsi="宋体" w:cs="宋体"/>
                <w:szCs w:val="21"/>
              </w:rPr>
              <w:t>构成本招标文件的各个组成文件应互为解释，互为说明；如有不明确 或不一致，构成合同文件组成内容的，以合同文件约定内容为准，且 以专用合同条款约定的合同文件优先顺序解释；除招标文件中有特别 规定外，仅适用于招标投标阶段的规定，按招标公告（投标邀请书）、 供应商须知、评标办法、投标文件格式的先后顺序解释；同一组成文件中就同一事项的规定或约定不一致的，以编排顺序在后者为准；同一组成文件不同版本之间有不一致的，以形成时间在后者为准。按本 款前述规定仍不能形成结论的，由采购人负责解释。</w:t>
            </w:r>
          </w:p>
        </w:tc>
      </w:tr>
      <w:tr w14:paraId="3879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092E896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10.5</w:t>
            </w:r>
          </w:p>
        </w:tc>
        <w:tc>
          <w:tcPr>
            <w:tcW w:w="1845" w:type="dxa"/>
            <w:shd w:val="clear" w:color="auto" w:fill="auto"/>
            <w:vAlign w:val="center"/>
          </w:tcPr>
          <w:p w14:paraId="0319B114">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政府采购政策</w:t>
            </w:r>
          </w:p>
        </w:tc>
        <w:tc>
          <w:tcPr>
            <w:tcW w:w="6523" w:type="dxa"/>
            <w:shd w:val="clear" w:color="auto" w:fill="auto"/>
            <w:vAlign w:val="center"/>
          </w:tcPr>
          <w:p w14:paraId="71D674E0">
            <w:pPr>
              <w:adjustRightInd w:val="0"/>
              <w:snapToGrid w:val="0"/>
              <w:spacing w:beforeLines="20" w:line="360" w:lineRule="auto"/>
              <w:ind w:left="42" w:leftChars="20"/>
              <w:rPr>
                <w:rFonts w:ascii="宋体" w:hAnsi="宋体" w:cs="宋体"/>
                <w:b/>
                <w:bCs/>
                <w:szCs w:val="21"/>
              </w:rPr>
            </w:pPr>
            <w:r>
              <w:rPr>
                <w:rFonts w:hint="eastAsia" w:ascii="宋体" w:hAnsi="宋体" w:cs="宋体"/>
                <w:b/>
                <w:bCs/>
                <w:szCs w:val="21"/>
              </w:rPr>
              <w:t>本项目非专门面向中小企业采购。</w:t>
            </w:r>
          </w:p>
          <w:p w14:paraId="08E4AA8B">
            <w:pPr>
              <w:adjustRightInd w:val="0"/>
              <w:snapToGrid w:val="0"/>
              <w:spacing w:beforeLines="20" w:line="360" w:lineRule="auto"/>
              <w:ind w:left="42" w:leftChars="20"/>
              <w:rPr>
                <w:rFonts w:ascii="宋体" w:hAnsi="宋体" w:cs="宋体"/>
                <w:b/>
                <w:bCs/>
                <w:szCs w:val="21"/>
              </w:rPr>
            </w:pPr>
            <w:r>
              <w:rPr>
                <w:rFonts w:hint="eastAsia" w:ascii="宋体" w:hAnsi="宋体" w:cs="宋体"/>
                <w:b/>
                <w:bCs/>
                <w:szCs w:val="21"/>
              </w:rPr>
              <w:t>采购标的对应的中小企业划分标准所属行业为：租赁和商务服务业。</w:t>
            </w:r>
          </w:p>
          <w:p w14:paraId="04346C92">
            <w:pPr>
              <w:adjustRightInd w:val="0"/>
              <w:snapToGrid w:val="0"/>
              <w:spacing w:beforeLines="20" w:line="360" w:lineRule="auto"/>
              <w:ind w:left="42" w:leftChars="20"/>
              <w:rPr>
                <w:rFonts w:ascii="宋体" w:hAnsi="宋体" w:cs="宋体"/>
                <w:b/>
                <w:bCs/>
                <w:szCs w:val="21"/>
              </w:rPr>
            </w:pPr>
            <w:r>
              <w:rPr>
                <w:rFonts w:hint="eastAsia" w:ascii="宋体" w:hAnsi="宋体" w:cs="宋体"/>
                <w:szCs w:val="21"/>
              </w:rPr>
              <w:t>A．为贯彻落实《财政部 工业和信息化部关于印发《政府采购促进中小企业发展管理办法》的通知》（财库〔2020〕46号）和《关于进一步加大政府采购支持中小企业力度的通知》（财库〔2022〕19号）。本项目鼓励中小企业参与，若供应商为符合政府采购政策价格扣除的小型及微型企业，应提交信息完整有效的《中小企业声明函》。若不能提供，则视为非小微型企业，价格不予扣除；</w:t>
            </w:r>
            <w:r>
              <w:rPr>
                <w:rFonts w:hint="eastAsia" w:ascii="宋体" w:hAnsi="宋体" w:cs="宋体"/>
                <w:b/>
                <w:bCs/>
                <w:szCs w:val="21"/>
              </w:rPr>
              <w:t>本项目对属于小微型企业的投标报价给予10%的价格扣除。</w:t>
            </w:r>
          </w:p>
          <w:p w14:paraId="7D16C349">
            <w:pPr>
              <w:adjustRightInd w:val="0"/>
              <w:snapToGrid w:val="0"/>
              <w:spacing w:beforeLines="20" w:line="360" w:lineRule="auto"/>
              <w:ind w:left="42" w:leftChars="20"/>
              <w:rPr>
                <w:rFonts w:ascii="宋体" w:hAnsi="宋体" w:cs="宋体"/>
                <w:szCs w:val="21"/>
              </w:rPr>
            </w:pPr>
            <w:r>
              <w:rPr>
                <w:rFonts w:hint="eastAsia" w:ascii="宋体" w:hAnsi="宋体" w:cs="宋体"/>
                <w:szCs w:val="21"/>
              </w:rPr>
              <w:t>B．根据《财政部、司法部关于政府采购支持监狱企业发展有关问题的通知》（财库〔2014〕68号）规定，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502C3F66">
            <w:pPr>
              <w:adjustRightInd w:val="0"/>
              <w:snapToGrid w:val="0"/>
              <w:spacing w:beforeLines="20" w:line="360" w:lineRule="auto"/>
              <w:ind w:left="42" w:leftChars="20"/>
              <w:rPr>
                <w:rFonts w:ascii="宋体" w:hAnsi="宋体" w:cs="宋体"/>
                <w:szCs w:val="21"/>
              </w:rPr>
            </w:pPr>
            <w:r>
              <w:rPr>
                <w:rFonts w:hint="eastAsia" w:ascii="宋体" w:hAnsi="宋体" w:cs="宋体"/>
                <w:szCs w:val="21"/>
              </w:rPr>
              <w:t>C．根据《财政部、民政部、中国残疾人联合会关于关于促进残疾人就业政府采购政策的通知》（财库〔2017〕141号）规定，本项目支持残疾人福利性单位参与政府采购活动。在政府采购活动中，残疾人福利性单位视同小型、微型企业，享受预留份额、评审中价格扣除等促进中小企业发展的政府采购政策。</w:t>
            </w:r>
          </w:p>
          <w:p w14:paraId="7C4784E7">
            <w:pPr>
              <w:adjustRightInd w:val="0"/>
              <w:snapToGrid w:val="0"/>
              <w:spacing w:beforeLines="20" w:line="360" w:lineRule="auto"/>
              <w:ind w:left="42" w:leftChars="20"/>
              <w:rPr>
                <w:rFonts w:ascii="宋体" w:hAnsi="宋体" w:cs="宋体"/>
                <w:szCs w:val="21"/>
              </w:rPr>
            </w:pPr>
            <w:r>
              <w:rPr>
                <w:rFonts w:hint="eastAsia" w:ascii="宋体" w:hAnsi="宋体" w:cs="宋体"/>
                <w:szCs w:val="21"/>
              </w:rPr>
              <w:t>供应商提供的以上《声明函》与事实不符的，将依照《政府采购法》第七十七条第一款的规定追究法律责任。</w:t>
            </w:r>
          </w:p>
        </w:tc>
      </w:tr>
      <w:tr w14:paraId="3A1D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003BF69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10.6</w:t>
            </w:r>
          </w:p>
        </w:tc>
        <w:tc>
          <w:tcPr>
            <w:tcW w:w="1845" w:type="dxa"/>
            <w:shd w:val="clear" w:color="auto" w:fill="auto"/>
            <w:vAlign w:val="center"/>
          </w:tcPr>
          <w:p w14:paraId="471AF935">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特别提醒</w:t>
            </w:r>
          </w:p>
        </w:tc>
        <w:tc>
          <w:tcPr>
            <w:tcW w:w="6523" w:type="dxa"/>
            <w:shd w:val="clear" w:color="auto" w:fill="auto"/>
            <w:vAlign w:val="center"/>
          </w:tcPr>
          <w:p w14:paraId="39BB4AE6">
            <w:pPr>
              <w:adjustRightInd w:val="0"/>
              <w:snapToGrid w:val="0"/>
              <w:spacing w:beforeLines="20" w:line="360" w:lineRule="auto"/>
              <w:ind w:left="42" w:leftChars="20"/>
              <w:rPr>
                <w:rFonts w:ascii="宋体" w:hAnsi="宋体" w:cs="宋体"/>
                <w:szCs w:val="21"/>
              </w:rPr>
            </w:pPr>
            <w:r>
              <w:rPr>
                <w:rFonts w:hint="eastAsia" w:ascii="宋体" w:hAnsi="宋体" w:cs="宋体"/>
                <w:szCs w:val="21"/>
              </w:rPr>
              <w:t>1.采购人和采购代理机构对已发出的招标文件进行的澄清、更正或更改，澄清、更正或更改的内容将作为招标文件组成部分。采购代理机</w:t>
            </w:r>
            <w:r>
              <w:fldChar w:fldCharType="begin"/>
            </w:r>
            <w:r>
              <w:instrText xml:space="preserve"> HYPERLINK "http://www.hnggzy.net/hnweb/834dab66-d4b5-4fde-b432-57f2a6cfbfed/daab2e42-34aa-4cae-85c2-ba78a29ef9e2/河南省公共资源" </w:instrText>
            </w:r>
            <w:r>
              <w:fldChar w:fldCharType="separate"/>
            </w:r>
            <w:r>
              <w:rPr>
                <w:rFonts w:hint="eastAsia" w:ascii="宋体" w:hAnsi="宋体" w:cs="宋体"/>
                <w:szCs w:val="21"/>
              </w:rPr>
              <w:t>构将通过网站“变更公告”和河南省公共资源“智慧交易”平台系</w:t>
            </w:r>
            <w:r>
              <w:rPr>
                <w:rFonts w:hint="eastAsia" w:ascii="宋体" w:hAnsi="宋体" w:cs="宋体"/>
                <w:szCs w:val="21"/>
              </w:rPr>
              <w:fldChar w:fldCharType="end"/>
            </w:r>
            <w:r>
              <w:rPr>
                <w:rFonts w:hint="eastAsia" w:ascii="宋体" w:hAnsi="宋体" w:cs="宋体"/>
                <w:szCs w:val="21"/>
              </w:rPr>
              <w:t>统内部“答疑文件”告知供应商，对于各项目中已经成功下载招标文件</w:t>
            </w:r>
            <w:r>
              <w:rPr>
                <w:rFonts w:hint="eastAsia" w:ascii="宋体" w:hAnsi="宋体" w:cs="宋体"/>
                <w:spacing w:val="-1"/>
                <w:szCs w:val="21"/>
              </w:rPr>
              <w:t>的项目供应商，系统将通过第三方短信群发方式提醒供应商进行查</w:t>
            </w:r>
            <w:r>
              <w:rPr>
                <w:rFonts w:hint="eastAsia" w:ascii="宋体" w:hAnsi="宋体" w:cs="宋体"/>
                <w:spacing w:val="-4"/>
                <w:szCs w:val="21"/>
              </w:rPr>
              <w:t>询。各供应商须重新下载最新的招标文件及答疑文件，以此编制投标文件。供应商注册时所留手机联系方式要保持畅通，因联系方式变更而未及时更新系统内联系方式的，将会造成收不到短信。此短信仅系友情提示，并具有任何约束性和必要性，采购人和采购代理机构不承</w:t>
            </w:r>
            <w:r>
              <w:rPr>
                <w:rFonts w:hint="eastAsia" w:ascii="宋体" w:hAnsi="宋体" w:cs="宋体"/>
                <w:spacing w:val="15"/>
                <w:szCs w:val="21"/>
              </w:rPr>
              <w:t xml:space="preserve"> </w:t>
            </w:r>
            <w:r>
              <w:rPr>
                <w:rFonts w:hint="eastAsia" w:ascii="宋体" w:hAnsi="宋体" w:cs="宋体"/>
                <w:szCs w:val="21"/>
              </w:rPr>
              <w:t>担供应商未收到短信而引起的一切后果和法</w:t>
            </w:r>
            <w:r>
              <w:rPr>
                <w:rFonts w:hint="eastAsia" w:ascii="宋体" w:hAnsi="宋体" w:cs="宋体"/>
                <w:spacing w:val="-1"/>
                <w:szCs w:val="21"/>
              </w:rPr>
              <w:t>律责任。</w:t>
            </w:r>
          </w:p>
          <w:p w14:paraId="2DD4F243">
            <w:pPr>
              <w:pStyle w:val="224"/>
              <w:adjustRightInd w:val="0"/>
              <w:snapToGrid w:val="0"/>
              <w:spacing w:beforeLines="20" w:line="360" w:lineRule="auto"/>
              <w:ind w:left="42" w:leftChars="20"/>
              <w:rPr>
                <w:lang w:eastAsia="zh-CN"/>
              </w:rPr>
            </w:pPr>
            <w:r>
              <w:rPr>
                <w:rFonts w:hint="eastAsia"/>
                <w:spacing w:val="-4"/>
                <w:lang w:eastAsia="zh-CN"/>
              </w:rPr>
              <w:t>2.因河南省公共资源交易中心系统平台在开标前具有保密性，供应商在投标文件递交截止时间前须自行查看项目进展、变更通知、澄清及</w:t>
            </w:r>
            <w:r>
              <w:rPr>
                <w:rFonts w:hint="eastAsia"/>
                <w:spacing w:val="-1"/>
                <w:lang w:eastAsia="zh-CN"/>
              </w:rPr>
              <w:t>回复，因供应商未及时查看而造成的后果自负。</w:t>
            </w:r>
          </w:p>
          <w:p w14:paraId="77C07FB8">
            <w:pPr>
              <w:adjustRightInd w:val="0"/>
              <w:snapToGrid w:val="0"/>
              <w:spacing w:beforeLines="20" w:line="360" w:lineRule="auto"/>
              <w:ind w:left="42" w:leftChars="20"/>
              <w:rPr>
                <w:rFonts w:ascii="宋体" w:hAnsi="宋体" w:cs="宋体"/>
                <w:szCs w:val="21"/>
              </w:rPr>
            </w:pPr>
            <w:r>
              <w:rPr>
                <w:rFonts w:hint="eastAsia" w:ascii="宋体" w:hAnsi="宋体" w:cs="宋体"/>
                <w:szCs w:val="21"/>
              </w:rPr>
              <w:t>3.本项目采用“远程不见面”开标方式，远程开标</w:t>
            </w:r>
            <w:r>
              <w:rPr>
                <w:rFonts w:hint="eastAsia" w:ascii="宋体" w:hAnsi="宋体" w:cs="宋体"/>
                <w:spacing w:val="-1"/>
                <w:szCs w:val="21"/>
              </w:rPr>
              <w:t>大厅网址为（</w:t>
            </w:r>
            <w:r>
              <w:rPr>
                <w:rFonts w:hint="eastAsia" w:ascii="宋体" w:hAnsi="宋体" w:cs="宋体"/>
                <w:szCs w:val="21"/>
              </w:rPr>
              <w:t>http://hnsggzyjy.henan.gov.cn/BidOpening/bidopeninghallaction/hall/login</w:t>
            </w:r>
            <w:r>
              <w:rPr>
                <w:rFonts w:hint="eastAsia" w:ascii="宋体" w:hAnsi="宋体" w:cs="宋体"/>
                <w:spacing w:val="-22"/>
                <w:szCs w:val="21"/>
              </w:rPr>
              <w:t>），</w:t>
            </w:r>
            <w:r>
              <w:rPr>
                <w:rFonts w:hint="eastAsia" w:ascii="宋体" w:hAnsi="宋体" w:cs="宋体"/>
                <w:spacing w:val="-2"/>
                <w:szCs w:val="21"/>
              </w:rPr>
              <w:t>供应商无需到河南省公共资源交易中心现场参加开标会议，无</w:t>
            </w:r>
            <w:r>
              <w:rPr>
                <w:rFonts w:hint="eastAsia" w:ascii="宋体" w:hAnsi="宋体" w:cs="宋体"/>
                <w:szCs w:val="21"/>
              </w:rPr>
              <w:t xml:space="preserve"> </w:t>
            </w:r>
            <w:r>
              <w:rPr>
                <w:rFonts w:hint="eastAsia" w:ascii="宋体" w:hAnsi="宋体" w:cs="宋体"/>
                <w:spacing w:val="-4"/>
                <w:szCs w:val="21"/>
              </w:rPr>
              <w:t>需到达现场提交原件资料。供应商应当在投标截止时间前，登录远程</w:t>
            </w:r>
            <w:r>
              <w:rPr>
                <w:rFonts w:hint="eastAsia" w:ascii="宋体" w:hAnsi="宋体" w:cs="宋体"/>
                <w:szCs w:val="21"/>
              </w:rPr>
              <w:t>开标大厅，在线准时参加开标活动并进行投标文件解密等。</w:t>
            </w:r>
          </w:p>
        </w:tc>
      </w:tr>
      <w:tr w14:paraId="4E1D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3" w:type="dxa"/>
            <w:shd w:val="clear" w:color="auto" w:fill="auto"/>
            <w:vAlign w:val="center"/>
          </w:tcPr>
          <w:p w14:paraId="28372F4F">
            <w:pPr>
              <w:adjustRightInd w:val="0"/>
              <w:snapToGrid w:val="0"/>
              <w:spacing w:beforeLines="20" w:line="360" w:lineRule="auto"/>
              <w:ind w:left="42" w:leftChars="20"/>
              <w:jc w:val="center"/>
              <w:rPr>
                <w:rFonts w:ascii="宋体" w:hAnsi="宋体" w:cs="宋体"/>
                <w:szCs w:val="21"/>
                <w:lang w:eastAsia="en-US"/>
              </w:rPr>
            </w:pPr>
            <w:r>
              <w:rPr>
                <w:rFonts w:hint="eastAsia" w:ascii="宋体" w:hAnsi="宋体" w:cs="宋体"/>
                <w:szCs w:val="21"/>
              </w:rPr>
              <w:t>10.6</w:t>
            </w:r>
          </w:p>
        </w:tc>
        <w:tc>
          <w:tcPr>
            <w:tcW w:w="1845" w:type="dxa"/>
            <w:shd w:val="clear" w:color="auto" w:fill="auto"/>
            <w:vAlign w:val="center"/>
          </w:tcPr>
          <w:p w14:paraId="68BFEAF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河南省政府采购合同融资政策告知函</w:t>
            </w:r>
          </w:p>
        </w:tc>
        <w:tc>
          <w:tcPr>
            <w:tcW w:w="6523" w:type="dxa"/>
            <w:shd w:val="clear" w:color="auto" w:fill="auto"/>
            <w:vAlign w:val="center"/>
          </w:tcPr>
          <w:p w14:paraId="6E22C74D">
            <w:pPr>
              <w:adjustRightInd w:val="0"/>
              <w:snapToGrid w:val="0"/>
              <w:spacing w:beforeLines="20" w:line="360" w:lineRule="auto"/>
              <w:ind w:left="42" w:leftChars="20"/>
              <w:rPr>
                <w:rFonts w:ascii="宋体" w:hAnsi="宋体" w:cs="宋体"/>
                <w:szCs w:val="21"/>
                <w:lang w:eastAsia="en-US"/>
              </w:rPr>
            </w:pPr>
            <w:r>
              <w:rPr>
                <w:rFonts w:hint="eastAsia" w:ascii="宋体" w:hAnsi="宋体" w:cs="宋体"/>
                <w:szCs w:val="21"/>
              </w:rPr>
              <w:t>详见正文附件</w:t>
            </w:r>
          </w:p>
        </w:tc>
      </w:tr>
    </w:tbl>
    <w:p w14:paraId="0EC04142">
      <w:pPr>
        <w:wordWrap w:val="0"/>
        <w:adjustRightInd w:val="0"/>
        <w:snapToGrid w:val="0"/>
        <w:spacing w:line="360" w:lineRule="auto"/>
        <w:jc w:val="left"/>
        <w:outlineLvl w:val="1"/>
        <w:rPr>
          <w:rFonts w:ascii="宋体" w:hAnsi="宋体" w:cs="宋体"/>
          <w:szCs w:val="21"/>
        </w:rPr>
      </w:pPr>
      <w:r>
        <w:rPr>
          <w:rFonts w:ascii="宋体" w:hAnsi="宋体"/>
          <w:b/>
          <w:bCs/>
        </w:rPr>
        <w:br w:type="page"/>
      </w:r>
      <w:bookmarkStart w:id="54" w:name="_Toc23368"/>
      <w:bookmarkStart w:id="55" w:name="_Toc7850"/>
      <w:bookmarkStart w:id="56" w:name="_Toc10701"/>
      <w:bookmarkStart w:id="57" w:name="_Toc32835832"/>
      <w:bookmarkStart w:id="58" w:name="_Toc28409"/>
      <w:bookmarkStart w:id="59" w:name="_Toc430160317"/>
      <w:r>
        <w:rPr>
          <w:rFonts w:hint="eastAsia" w:ascii="宋体" w:hAnsi="宋体" w:cs="宋体"/>
          <w:b/>
          <w:bCs/>
          <w:szCs w:val="21"/>
        </w:rPr>
        <w:t>1.总则</w:t>
      </w:r>
      <w:bookmarkEnd w:id="54"/>
      <w:bookmarkEnd w:id="55"/>
      <w:bookmarkEnd w:id="56"/>
    </w:p>
    <w:p w14:paraId="294E3E06">
      <w:pPr>
        <w:pStyle w:val="46"/>
        <w:widowControl w:val="0"/>
        <w:wordWrap w:val="0"/>
        <w:adjustRightInd w:val="0"/>
        <w:snapToGrid w:val="0"/>
        <w:spacing w:before="0" w:beforeAutospacing="0" w:after="0" w:afterAutospacing="0" w:line="360" w:lineRule="auto"/>
        <w:jc w:val="both"/>
        <w:rPr>
          <w:rFonts w:cs="宋体"/>
          <w:b/>
          <w:bCs/>
          <w:sz w:val="21"/>
          <w:szCs w:val="21"/>
        </w:rPr>
      </w:pPr>
      <w:r>
        <w:rPr>
          <w:rFonts w:hint="eastAsia" w:cs="宋体"/>
          <w:b/>
          <w:bCs/>
          <w:sz w:val="21"/>
          <w:szCs w:val="21"/>
        </w:rPr>
        <w:t xml:space="preserve">1.1 </w:t>
      </w:r>
      <w:r>
        <w:rPr>
          <w:rFonts w:hint="eastAsia" w:cs="宋体"/>
          <w:b/>
          <w:bCs/>
          <w:kern w:val="2"/>
          <w:sz w:val="21"/>
          <w:szCs w:val="21"/>
        </w:rPr>
        <w:t>定义</w:t>
      </w:r>
    </w:p>
    <w:p w14:paraId="0C47FA89">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1.1.1采购人：“供应商须知前附表”中所述的、依法进行政府采购的国家机关、事业单位、团体组织。</w:t>
      </w:r>
    </w:p>
    <w:p w14:paraId="7371FF05">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1.1.2采购代理机构：中建山河建设管理集团有限公司。</w:t>
      </w:r>
    </w:p>
    <w:p w14:paraId="5DB61838">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1.1.3供应商：根据政府采购合同，向采购人提供货物、工程或者服务的法人、其他组织或者自然人。</w:t>
      </w:r>
    </w:p>
    <w:p w14:paraId="5EB34E28">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1.1.4投标文件：指供应商根据招标文件要求提交的所有文件。</w:t>
      </w:r>
    </w:p>
    <w:p w14:paraId="357BBDAF">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1.1.5中标人：接到并接受中标通知书，最终被授予合同的投标人。</w:t>
      </w:r>
    </w:p>
    <w:p w14:paraId="33A92079">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1.2 项目概况</w:t>
      </w:r>
    </w:p>
    <w:p w14:paraId="6A1541EE">
      <w:pPr>
        <w:adjustRightInd w:val="0"/>
        <w:snapToGrid w:val="0"/>
        <w:spacing w:line="360" w:lineRule="auto"/>
        <w:ind w:firstLine="420" w:firstLineChars="200"/>
        <w:rPr>
          <w:rFonts w:ascii="宋体" w:hAnsi="宋体" w:cs="宋体"/>
          <w:szCs w:val="21"/>
        </w:rPr>
      </w:pPr>
      <w:r>
        <w:rPr>
          <w:rFonts w:hint="eastAsia" w:ascii="宋体" w:hAnsi="宋体" w:cs="宋体"/>
          <w:szCs w:val="21"/>
        </w:rPr>
        <w:t>1.1.1 根据《中华人民共和国政府采购法》、《政府采购货物和服务招标投标管理办法》等有关法律、法规和规章的规定，本招标项目已具备招标条件，现对本项目进行招标。</w:t>
      </w:r>
    </w:p>
    <w:p w14:paraId="369DB158">
      <w:pPr>
        <w:adjustRightInd w:val="0"/>
        <w:snapToGrid w:val="0"/>
        <w:spacing w:line="360" w:lineRule="auto"/>
        <w:ind w:firstLine="420" w:firstLineChars="200"/>
        <w:rPr>
          <w:rFonts w:ascii="宋体" w:hAnsi="宋体" w:cs="宋体"/>
          <w:szCs w:val="21"/>
        </w:rPr>
      </w:pPr>
      <w:r>
        <w:rPr>
          <w:rFonts w:hint="eastAsia" w:ascii="宋体" w:hAnsi="宋体" w:cs="宋体"/>
          <w:szCs w:val="21"/>
        </w:rPr>
        <w:t>1.1.2 项目名称：见供应商须知前附表。</w:t>
      </w:r>
    </w:p>
    <w:p w14:paraId="1EE19032">
      <w:pPr>
        <w:adjustRightInd w:val="0"/>
        <w:snapToGrid w:val="0"/>
        <w:spacing w:line="360" w:lineRule="auto"/>
        <w:ind w:firstLine="420" w:firstLineChars="200"/>
        <w:rPr>
          <w:rFonts w:ascii="宋体" w:hAnsi="宋体" w:cs="宋体"/>
          <w:szCs w:val="21"/>
        </w:rPr>
      </w:pPr>
      <w:r>
        <w:rPr>
          <w:rFonts w:hint="eastAsia" w:ascii="宋体" w:hAnsi="宋体" w:cs="宋体"/>
          <w:szCs w:val="21"/>
        </w:rPr>
        <w:t>1.1.3 项目编号：见供应商须知前附表。</w:t>
      </w:r>
    </w:p>
    <w:p w14:paraId="54F71F4B">
      <w:pPr>
        <w:adjustRightInd w:val="0"/>
        <w:snapToGrid w:val="0"/>
        <w:spacing w:line="360" w:lineRule="auto"/>
        <w:ind w:firstLine="420" w:firstLineChars="200"/>
        <w:rPr>
          <w:rFonts w:ascii="宋体" w:hAnsi="宋体" w:cs="宋体"/>
          <w:szCs w:val="21"/>
        </w:rPr>
      </w:pPr>
      <w:r>
        <w:rPr>
          <w:rFonts w:hint="eastAsia" w:ascii="宋体" w:hAnsi="宋体" w:cs="宋体"/>
          <w:szCs w:val="21"/>
        </w:rPr>
        <w:t>1.1.4 包段划分：见供应商须知前附表。</w:t>
      </w:r>
    </w:p>
    <w:p w14:paraId="1B3359F3">
      <w:pPr>
        <w:adjustRightInd w:val="0"/>
        <w:snapToGrid w:val="0"/>
        <w:spacing w:line="360" w:lineRule="auto"/>
        <w:ind w:firstLine="420" w:firstLineChars="200"/>
        <w:rPr>
          <w:rFonts w:ascii="宋体" w:hAnsi="宋体" w:cs="宋体"/>
          <w:szCs w:val="21"/>
        </w:rPr>
      </w:pPr>
      <w:r>
        <w:rPr>
          <w:rFonts w:hint="eastAsia" w:ascii="宋体" w:hAnsi="宋体" w:cs="宋体"/>
          <w:szCs w:val="21"/>
        </w:rPr>
        <w:t>1.1.5资金来源：见供应商须知前附表。</w:t>
      </w:r>
    </w:p>
    <w:p w14:paraId="1EC29431">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1.3 采购内容、服务期限、服务质量要求</w:t>
      </w:r>
    </w:p>
    <w:p w14:paraId="0972ED24">
      <w:pPr>
        <w:adjustRightInd w:val="0"/>
        <w:snapToGrid w:val="0"/>
        <w:spacing w:line="360" w:lineRule="auto"/>
        <w:ind w:firstLine="420" w:firstLineChars="200"/>
        <w:rPr>
          <w:rFonts w:ascii="宋体" w:hAnsi="宋体" w:cs="宋体"/>
          <w:szCs w:val="21"/>
        </w:rPr>
      </w:pPr>
      <w:r>
        <w:rPr>
          <w:rFonts w:hint="eastAsia" w:ascii="宋体" w:hAnsi="宋体" w:cs="宋体"/>
          <w:szCs w:val="21"/>
        </w:rPr>
        <w:t>1.3.1 采购内容：见供应商须知前附表。</w:t>
      </w:r>
    </w:p>
    <w:p w14:paraId="3CF29B0A">
      <w:pPr>
        <w:adjustRightInd w:val="0"/>
        <w:snapToGrid w:val="0"/>
        <w:spacing w:line="360" w:lineRule="auto"/>
        <w:ind w:firstLine="420" w:firstLineChars="200"/>
        <w:rPr>
          <w:rFonts w:ascii="宋体" w:hAnsi="宋体" w:cs="宋体"/>
          <w:szCs w:val="21"/>
        </w:rPr>
      </w:pPr>
      <w:r>
        <w:rPr>
          <w:rFonts w:hint="eastAsia" w:ascii="宋体" w:hAnsi="宋体" w:cs="宋体"/>
          <w:szCs w:val="21"/>
        </w:rPr>
        <w:t>1.3.2 服务期限：见供应商须知前附表。</w:t>
      </w:r>
    </w:p>
    <w:p w14:paraId="23A04D06">
      <w:pPr>
        <w:adjustRightInd w:val="0"/>
        <w:snapToGrid w:val="0"/>
        <w:spacing w:line="360" w:lineRule="auto"/>
        <w:ind w:firstLine="420" w:firstLineChars="200"/>
        <w:rPr>
          <w:rFonts w:ascii="宋体" w:hAnsi="宋体" w:cs="宋体"/>
          <w:szCs w:val="21"/>
        </w:rPr>
      </w:pPr>
      <w:r>
        <w:rPr>
          <w:rFonts w:hint="eastAsia" w:ascii="宋体" w:hAnsi="宋体" w:cs="宋体"/>
          <w:szCs w:val="21"/>
        </w:rPr>
        <w:t>1.3.3 服务质量要求：见供应商须知前附表。</w:t>
      </w:r>
    </w:p>
    <w:p w14:paraId="3F605EBD">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1.4 供应商资格要求</w:t>
      </w:r>
    </w:p>
    <w:p w14:paraId="54788F2A">
      <w:pPr>
        <w:adjustRightInd w:val="0"/>
        <w:snapToGrid w:val="0"/>
        <w:spacing w:line="360" w:lineRule="auto"/>
        <w:ind w:firstLine="420" w:firstLineChars="200"/>
        <w:rPr>
          <w:rFonts w:ascii="宋体" w:hAnsi="宋体" w:cs="宋体"/>
          <w:szCs w:val="21"/>
        </w:rPr>
      </w:pPr>
      <w:r>
        <w:rPr>
          <w:rFonts w:hint="eastAsia" w:ascii="宋体" w:hAnsi="宋体" w:cs="宋体"/>
          <w:szCs w:val="21"/>
        </w:rPr>
        <w:t>1.4.1 供应商的资格要求见供应商须知前附表；</w:t>
      </w:r>
    </w:p>
    <w:p w14:paraId="5E30E37B">
      <w:pPr>
        <w:adjustRightInd w:val="0"/>
        <w:snapToGrid w:val="0"/>
        <w:spacing w:line="360" w:lineRule="auto"/>
        <w:ind w:firstLine="420" w:firstLineChars="200"/>
        <w:rPr>
          <w:rFonts w:ascii="宋体" w:hAnsi="宋体" w:cs="宋体"/>
          <w:szCs w:val="21"/>
        </w:rPr>
      </w:pPr>
      <w:r>
        <w:rPr>
          <w:rFonts w:hint="eastAsia" w:ascii="宋体" w:hAnsi="宋体" w:cs="宋体"/>
          <w:szCs w:val="21"/>
        </w:rPr>
        <w:t>1.4.2 本项目不接受联合体投标；</w:t>
      </w:r>
    </w:p>
    <w:p w14:paraId="09CECE70">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1.5 费用承担</w:t>
      </w:r>
    </w:p>
    <w:p w14:paraId="43D9B29E">
      <w:pPr>
        <w:adjustRightInd w:val="0"/>
        <w:snapToGrid w:val="0"/>
        <w:spacing w:line="360" w:lineRule="auto"/>
        <w:ind w:firstLine="420" w:firstLineChars="200"/>
        <w:rPr>
          <w:rFonts w:ascii="宋体" w:hAnsi="宋体" w:cs="宋体"/>
          <w:szCs w:val="21"/>
        </w:rPr>
      </w:pPr>
      <w:r>
        <w:rPr>
          <w:rFonts w:hint="eastAsia" w:ascii="宋体" w:hAnsi="宋体" w:cs="宋体"/>
          <w:szCs w:val="21"/>
        </w:rPr>
        <w:t>供应商准备和参加投标活动发生的费用自理。</w:t>
      </w:r>
    </w:p>
    <w:p w14:paraId="3E245A66">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1.6 保密</w:t>
      </w:r>
    </w:p>
    <w:p w14:paraId="3A6B2118">
      <w:pPr>
        <w:adjustRightInd w:val="0"/>
        <w:snapToGrid w:val="0"/>
        <w:spacing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参与招标投标活动的各方应对招标文件和投标文件中的商业和技术等秘密保密，否则应承担相应的法 律责任。</w:t>
      </w:r>
    </w:p>
    <w:p w14:paraId="260755BA">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1.7 语言文字</w:t>
      </w:r>
    </w:p>
    <w:p w14:paraId="1A254391">
      <w:pPr>
        <w:adjustRightInd w:val="0"/>
        <w:snapToGrid w:val="0"/>
        <w:spacing w:line="360" w:lineRule="auto"/>
        <w:ind w:firstLine="420" w:firstLineChars="200"/>
        <w:rPr>
          <w:rFonts w:ascii="宋体" w:hAnsi="宋体" w:cs="宋体"/>
          <w:szCs w:val="21"/>
        </w:rPr>
      </w:pPr>
      <w:r>
        <w:rPr>
          <w:rFonts w:hint="eastAsia" w:ascii="宋体" w:hAnsi="宋体" w:cs="宋体"/>
          <w:szCs w:val="21"/>
        </w:rPr>
        <w:t>招标投标文件使用的语言文字为中文。专用术语使用外文的，应附有中文注释。</w:t>
      </w:r>
    </w:p>
    <w:p w14:paraId="77F7DF0D">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1.8 计量单位</w:t>
      </w:r>
    </w:p>
    <w:p w14:paraId="593186FD">
      <w:pPr>
        <w:adjustRightInd w:val="0"/>
        <w:snapToGrid w:val="0"/>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14:paraId="21FAE1D1">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1.9 踏勘现场（不组织）</w:t>
      </w:r>
    </w:p>
    <w:p w14:paraId="57E436BD">
      <w:pPr>
        <w:adjustRightInd w:val="0"/>
        <w:snapToGrid w:val="0"/>
        <w:spacing w:line="360" w:lineRule="auto"/>
        <w:ind w:firstLine="420" w:firstLineChars="200"/>
        <w:rPr>
          <w:rFonts w:ascii="宋体" w:hAnsi="宋体" w:cs="宋体"/>
          <w:szCs w:val="21"/>
        </w:rPr>
      </w:pPr>
      <w:r>
        <w:rPr>
          <w:rFonts w:hint="eastAsia" w:ascii="宋体" w:hAnsi="宋体" w:cs="宋体"/>
          <w:szCs w:val="21"/>
        </w:rPr>
        <w:t>1.9.1 供应商须知前附表规定组织踏勘现场的，采购人按供应商须知前附表规定的时间、地点组织供应商踏勘项目现场。</w:t>
      </w:r>
    </w:p>
    <w:p w14:paraId="4A259549">
      <w:pPr>
        <w:adjustRightInd w:val="0"/>
        <w:snapToGrid w:val="0"/>
        <w:spacing w:line="360" w:lineRule="auto"/>
        <w:ind w:firstLine="420" w:firstLineChars="200"/>
        <w:rPr>
          <w:rFonts w:ascii="宋体" w:hAnsi="宋体" w:cs="宋体"/>
          <w:szCs w:val="21"/>
        </w:rPr>
      </w:pPr>
      <w:r>
        <w:rPr>
          <w:rFonts w:hint="eastAsia" w:ascii="宋体" w:hAnsi="宋体" w:cs="宋体"/>
          <w:szCs w:val="21"/>
        </w:rPr>
        <w:t>1.9.2 供应商踏勘现场发生的费用自理。</w:t>
      </w:r>
    </w:p>
    <w:p w14:paraId="474EF762">
      <w:pPr>
        <w:adjustRightInd w:val="0"/>
        <w:snapToGrid w:val="0"/>
        <w:spacing w:line="360" w:lineRule="auto"/>
        <w:ind w:firstLine="420" w:firstLineChars="200"/>
        <w:rPr>
          <w:rFonts w:ascii="宋体" w:hAnsi="宋体" w:cs="宋体"/>
          <w:szCs w:val="21"/>
        </w:rPr>
      </w:pPr>
      <w:r>
        <w:rPr>
          <w:rFonts w:hint="eastAsia" w:ascii="宋体" w:hAnsi="宋体" w:cs="宋体"/>
          <w:szCs w:val="21"/>
        </w:rPr>
        <w:t>1.9.3 供应商自行负责在踏勘现场中所发生的人员伤亡和财产损失。</w:t>
      </w:r>
    </w:p>
    <w:p w14:paraId="7510FAA1">
      <w:pPr>
        <w:adjustRightInd w:val="0"/>
        <w:snapToGrid w:val="0"/>
        <w:spacing w:line="360" w:lineRule="auto"/>
        <w:ind w:firstLine="420" w:firstLineChars="200"/>
        <w:rPr>
          <w:rFonts w:ascii="宋体" w:hAnsi="宋体" w:cs="宋体"/>
          <w:szCs w:val="21"/>
        </w:rPr>
      </w:pPr>
      <w:r>
        <w:rPr>
          <w:rFonts w:hint="eastAsia" w:ascii="宋体" w:hAnsi="宋体" w:cs="宋体"/>
          <w:szCs w:val="21"/>
        </w:rPr>
        <w:t>1.9.4 采购人在踏勘现场中介绍的场地和相关的周边环境情况，供供应商在编制投标文件时参考， 采购人不对供应商据此作出的判断和决策负责。</w:t>
      </w:r>
    </w:p>
    <w:p w14:paraId="32FD937E">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1.10 开标前答疑会（不召开）</w:t>
      </w:r>
    </w:p>
    <w:p w14:paraId="28ACFB65">
      <w:pPr>
        <w:adjustRightInd w:val="0"/>
        <w:snapToGrid w:val="0"/>
        <w:spacing w:line="360" w:lineRule="auto"/>
        <w:ind w:firstLine="420" w:firstLineChars="200"/>
        <w:rPr>
          <w:rFonts w:ascii="宋体" w:hAnsi="宋体" w:cs="宋体"/>
          <w:szCs w:val="21"/>
        </w:rPr>
      </w:pPr>
      <w:r>
        <w:rPr>
          <w:rFonts w:hint="eastAsia" w:ascii="宋体" w:hAnsi="宋体" w:cs="宋体"/>
          <w:szCs w:val="21"/>
        </w:rPr>
        <w:t>1.10.1 供应商须知前附表规定召开开标前答疑会的，采购人按供应商须知前附表规定的时间和地点召开，用于澄清供应商提出的问题。需要采购人在会议期间澄清的问题，供应商应当提前将提出的问题送达采购人。</w:t>
      </w:r>
    </w:p>
    <w:p w14:paraId="31E7C046">
      <w:pPr>
        <w:adjustRightInd w:val="0"/>
        <w:snapToGrid w:val="0"/>
        <w:spacing w:line="360" w:lineRule="auto"/>
        <w:ind w:firstLine="420" w:firstLineChars="200"/>
        <w:rPr>
          <w:rFonts w:ascii="宋体" w:hAnsi="宋体" w:cs="宋体"/>
          <w:szCs w:val="21"/>
        </w:rPr>
      </w:pPr>
      <w:r>
        <w:rPr>
          <w:rFonts w:hint="eastAsia" w:ascii="宋体" w:hAnsi="宋体" w:cs="宋体"/>
          <w:szCs w:val="21"/>
        </w:rPr>
        <w:t>1.10.2 开标前答疑会后，采购人将对供应商所提问题的澄清，以书面方式通知所有下载招标文件的供应商。该澄清内容为招标文件的组成部分。</w:t>
      </w:r>
    </w:p>
    <w:p w14:paraId="6CA46326">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1.11 分包</w:t>
      </w:r>
    </w:p>
    <w:p w14:paraId="2BDB988E">
      <w:pPr>
        <w:adjustRightInd w:val="0"/>
        <w:snapToGrid w:val="0"/>
        <w:spacing w:line="360" w:lineRule="auto"/>
        <w:ind w:firstLine="420" w:firstLineChars="200"/>
        <w:rPr>
          <w:rFonts w:ascii="宋体" w:hAnsi="宋体" w:cs="宋体"/>
          <w:szCs w:val="21"/>
        </w:rPr>
      </w:pPr>
      <w:r>
        <w:rPr>
          <w:rFonts w:hint="eastAsia" w:ascii="宋体" w:hAnsi="宋体" w:cs="宋体"/>
          <w:szCs w:val="21"/>
        </w:rPr>
        <w:t>中标人不得向他人转让中标项目，不得分包。</w:t>
      </w:r>
    </w:p>
    <w:p w14:paraId="43B461B1">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1.12 响应和偏差</w:t>
      </w:r>
    </w:p>
    <w:p w14:paraId="7178747A">
      <w:pPr>
        <w:adjustRightInd w:val="0"/>
        <w:snapToGrid w:val="0"/>
        <w:spacing w:line="360" w:lineRule="auto"/>
        <w:ind w:firstLine="420" w:firstLineChars="200"/>
        <w:rPr>
          <w:rFonts w:ascii="宋体" w:hAnsi="宋体" w:cs="宋体"/>
          <w:szCs w:val="21"/>
        </w:rPr>
      </w:pPr>
      <w:r>
        <w:rPr>
          <w:rFonts w:hint="eastAsia" w:ascii="宋体" w:hAnsi="宋体" w:cs="宋体"/>
          <w:szCs w:val="21"/>
        </w:rPr>
        <w:t>1.12.1 投标文件应当对招标文件的实质性要求和条件作出满足性或更有利于采购人的响应，否则，供应商的投标将被否决。实质性要求和条件见供应商须知前附表。</w:t>
      </w:r>
    </w:p>
    <w:p w14:paraId="36BB61F7">
      <w:pPr>
        <w:adjustRightInd w:val="0"/>
        <w:snapToGrid w:val="0"/>
        <w:spacing w:line="360" w:lineRule="auto"/>
        <w:ind w:firstLine="420" w:firstLineChars="200"/>
        <w:rPr>
          <w:rFonts w:ascii="宋体" w:hAnsi="宋体" w:cs="宋体"/>
          <w:szCs w:val="21"/>
        </w:rPr>
      </w:pPr>
      <w:r>
        <w:rPr>
          <w:rFonts w:hint="eastAsia" w:ascii="宋体" w:hAnsi="宋体" w:cs="宋体"/>
          <w:szCs w:val="21"/>
        </w:rPr>
        <w:t>1.12.2供应商须知前附表允许投标文件偏离招标文件某些要求的，偏差应当符合招标文件规定的偏差范围和幅度。</w:t>
      </w:r>
    </w:p>
    <w:p w14:paraId="5E5C6CA9">
      <w:pPr>
        <w:adjustRightInd w:val="0"/>
        <w:snapToGrid w:val="0"/>
        <w:spacing w:line="360" w:lineRule="auto"/>
        <w:ind w:firstLine="420" w:firstLineChars="200"/>
        <w:rPr>
          <w:rFonts w:ascii="宋体" w:hAnsi="宋体" w:cs="宋体"/>
          <w:szCs w:val="21"/>
        </w:rPr>
      </w:pPr>
      <w:r>
        <w:rPr>
          <w:rFonts w:hint="eastAsia" w:ascii="宋体" w:hAnsi="宋体" w:cs="宋体"/>
          <w:szCs w:val="21"/>
        </w:rPr>
        <w:t>1.12.3投标文件对招标文件的全部偏差，均应在投标文件的采购服务需求偏离响应表中列明，除列明的内容外，视为供应商响应招标文件的全部要求。</w:t>
      </w:r>
    </w:p>
    <w:p w14:paraId="0D2EB43B">
      <w:pPr>
        <w:pStyle w:val="3"/>
        <w:keepNext w:val="0"/>
        <w:keepLines w:val="0"/>
        <w:numPr>
          <w:ilvl w:val="1"/>
          <w:numId w:val="0"/>
        </w:numPr>
        <w:tabs>
          <w:tab w:val="clear" w:pos="3398"/>
        </w:tabs>
        <w:adjustRightInd w:val="0"/>
        <w:snapToGrid w:val="0"/>
        <w:spacing w:before="0" w:after="0"/>
        <w:jc w:val="both"/>
        <w:rPr>
          <w:rFonts w:ascii="宋体" w:hAnsi="宋体" w:cs="宋体"/>
          <w:sz w:val="21"/>
          <w:szCs w:val="21"/>
        </w:rPr>
      </w:pPr>
      <w:bookmarkStart w:id="60" w:name="_Toc10678"/>
      <w:bookmarkStart w:id="61" w:name="_Toc17336"/>
      <w:bookmarkStart w:id="62" w:name="_Toc13381"/>
      <w:r>
        <w:rPr>
          <w:rFonts w:hint="eastAsia" w:ascii="宋体" w:hAnsi="宋体" w:cs="宋体"/>
          <w:sz w:val="21"/>
          <w:szCs w:val="21"/>
        </w:rPr>
        <w:t>2.招标文件</w:t>
      </w:r>
      <w:bookmarkEnd w:id="60"/>
      <w:bookmarkEnd w:id="61"/>
      <w:bookmarkEnd w:id="62"/>
    </w:p>
    <w:p w14:paraId="38FB132F">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2.1 招标文件的组成</w:t>
      </w:r>
    </w:p>
    <w:p w14:paraId="0532828E">
      <w:pPr>
        <w:adjustRightInd w:val="0"/>
        <w:snapToGrid w:val="0"/>
        <w:spacing w:line="360" w:lineRule="auto"/>
        <w:ind w:firstLine="420" w:firstLineChars="200"/>
        <w:rPr>
          <w:rFonts w:ascii="宋体" w:hAnsi="宋体" w:cs="宋体"/>
          <w:szCs w:val="21"/>
        </w:rPr>
      </w:pPr>
      <w:r>
        <w:rPr>
          <w:rFonts w:hint="eastAsia" w:ascii="宋体" w:hAnsi="宋体" w:cs="宋体"/>
          <w:szCs w:val="21"/>
        </w:rPr>
        <w:t>本招标文件包括：</w:t>
      </w:r>
    </w:p>
    <w:p w14:paraId="7E4FA922">
      <w:pPr>
        <w:adjustRightInd w:val="0"/>
        <w:snapToGrid w:val="0"/>
        <w:spacing w:line="360" w:lineRule="auto"/>
        <w:ind w:firstLine="420" w:firstLineChars="200"/>
        <w:rPr>
          <w:rFonts w:ascii="宋体" w:hAnsi="宋体" w:cs="宋体"/>
          <w:szCs w:val="21"/>
        </w:rPr>
      </w:pPr>
      <w:r>
        <w:rPr>
          <w:rFonts w:hint="eastAsia" w:ascii="宋体" w:hAnsi="宋体" w:cs="宋体"/>
          <w:szCs w:val="21"/>
        </w:rPr>
        <w:t>（1）招标公告；</w:t>
      </w:r>
    </w:p>
    <w:p w14:paraId="76ABB04C">
      <w:pPr>
        <w:adjustRightInd w:val="0"/>
        <w:snapToGrid w:val="0"/>
        <w:spacing w:line="360" w:lineRule="auto"/>
        <w:ind w:firstLine="420" w:firstLineChars="200"/>
        <w:rPr>
          <w:rFonts w:ascii="宋体" w:hAnsi="宋体" w:cs="宋体"/>
          <w:szCs w:val="21"/>
        </w:rPr>
      </w:pPr>
      <w:r>
        <w:rPr>
          <w:rFonts w:hint="eastAsia" w:ascii="宋体" w:hAnsi="宋体" w:cs="宋体"/>
          <w:szCs w:val="21"/>
        </w:rPr>
        <w:t>（2）供应商须知；</w:t>
      </w:r>
    </w:p>
    <w:p w14:paraId="24BB865D">
      <w:pPr>
        <w:adjustRightInd w:val="0"/>
        <w:snapToGrid w:val="0"/>
        <w:spacing w:line="360" w:lineRule="auto"/>
        <w:ind w:firstLine="420" w:firstLineChars="200"/>
        <w:rPr>
          <w:rFonts w:ascii="宋体" w:hAnsi="宋体" w:cs="宋体"/>
          <w:szCs w:val="21"/>
        </w:rPr>
      </w:pPr>
      <w:r>
        <w:rPr>
          <w:rFonts w:hint="eastAsia" w:ascii="宋体" w:hAnsi="宋体" w:cs="宋体"/>
          <w:szCs w:val="21"/>
        </w:rPr>
        <w:t>（3）资格审查、评标标准及办法；</w:t>
      </w:r>
    </w:p>
    <w:p w14:paraId="5662A485">
      <w:pPr>
        <w:adjustRightInd w:val="0"/>
        <w:snapToGrid w:val="0"/>
        <w:spacing w:line="360" w:lineRule="auto"/>
        <w:ind w:firstLine="420" w:firstLineChars="200"/>
        <w:rPr>
          <w:rFonts w:ascii="宋体" w:hAnsi="宋体" w:cs="宋体"/>
          <w:szCs w:val="21"/>
        </w:rPr>
      </w:pPr>
      <w:r>
        <w:rPr>
          <w:rFonts w:hint="eastAsia" w:ascii="宋体" w:hAnsi="宋体" w:cs="宋体"/>
          <w:szCs w:val="21"/>
        </w:rPr>
        <w:t>（4）合同条款及格式；</w:t>
      </w:r>
    </w:p>
    <w:p w14:paraId="29B58F98">
      <w:pPr>
        <w:adjustRightInd w:val="0"/>
        <w:snapToGrid w:val="0"/>
        <w:spacing w:line="360" w:lineRule="auto"/>
        <w:ind w:firstLine="420" w:firstLineChars="200"/>
        <w:rPr>
          <w:rFonts w:ascii="宋体" w:hAnsi="宋体" w:cs="宋体"/>
          <w:szCs w:val="21"/>
        </w:rPr>
      </w:pPr>
      <w:r>
        <w:rPr>
          <w:rFonts w:hint="eastAsia" w:ascii="宋体" w:hAnsi="宋体" w:cs="宋体"/>
          <w:szCs w:val="21"/>
        </w:rPr>
        <w:t>（5）采购需求；</w:t>
      </w:r>
    </w:p>
    <w:p w14:paraId="3025A659">
      <w:pPr>
        <w:adjustRightInd w:val="0"/>
        <w:snapToGrid w:val="0"/>
        <w:spacing w:line="360" w:lineRule="auto"/>
        <w:ind w:firstLine="420" w:firstLineChars="200"/>
        <w:rPr>
          <w:rFonts w:ascii="宋体" w:hAnsi="宋体" w:cs="宋体"/>
          <w:szCs w:val="21"/>
        </w:rPr>
      </w:pPr>
      <w:r>
        <w:rPr>
          <w:rFonts w:hint="eastAsia" w:ascii="宋体" w:hAnsi="宋体" w:cs="宋体"/>
          <w:szCs w:val="21"/>
        </w:rPr>
        <w:t>（6）投标文件格式。</w:t>
      </w:r>
    </w:p>
    <w:p w14:paraId="441212AE">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根据本章第 2.2 款和第 2.3 款对招标文件所作的澄清、修改，构成招标文件的组成部分。</w:t>
      </w:r>
    </w:p>
    <w:p w14:paraId="154DA653">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2.2 招标文件的澄清</w:t>
      </w:r>
    </w:p>
    <w:p w14:paraId="49A5CCC8">
      <w:pPr>
        <w:adjustRightInd w:val="0"/>
        <w:snapToGrid w:val="0"/>
        <w:spacing w:line="360" w:lineRule="auto"/>
        <w:ind w:firstLine="420" w:firstLineChars="200"/>
        <w:rPr>
          <w:rFonts w:ascii="宋体" w:hAnsi="宋体" w:cs="宋体"/>
          <w:szCs w:val="21"/>
        </w:rPr>
      </w:pPr>
      <w:r>
        <w:rPr>
          <w:rFonts w:hint="eastAsia" w:ascii="宋体" w:hAnsi="宋体" w:cs="宋体"/>
          <w:szCs w:val="21"/>
        </w:rPr>
        <w:t>2.2.1供应商应仔细阅读和检查招标文件的全部内容。如有疑问，应当在收到招标文件之日或者招标文件公告期限届满之日起七个工作日内，在河南省公共资源交易中心平台上提出。采购人和采购代理机构对潜在供应商在规定期限内提交的疑问予以答复。在规定的时间内未提出疑问的，将被视为完全理解并接受招标文件的全部内容。</w:t>
      </w:r>
    </w:p>
    <w:p w14:paraId="26BEB1D0">
      <w:pPr>
        <w:adjustRightInd w:val="0"/>
        <w:snapToGrid w:val="0"/>
        <w:spacing w:line="360" w:lineRule="auto"/>
        <w:ind w:firstLine="420" w:firstLineChars="200"/>
        <w:rPr>
          <w:rFonts w:ascii="宋体" w:hAnsi="宋体" w:cs="宋体"/>
          <w:szCs w:val="21"/>
        </w:rPr>
      </w:pPr>
      <w:r>
        <w:rPr>
          <w:rFonts w:hint="eastAsia" w:ascii="宋体" w:hAnsi="宋体" w:cs="宋体"/>
          <w:szCs w:val="21"/>
        </w:rPr>
        <w:t>2.2.2除非采购人认为确有必要答复，否则，采购人有权拒绝回复供应商在本章第2.2.1项规定的时间后的任何澄清要求。</w:t>
      </w:r>
    </w:p>
    <w:p w14:paraId="60489A37">
      <w:pPr>
        <w:adjustRightInd w:val="0"/>
        <w:snapToGrid w:val="0"/>
        <w:spacing w:line="360" w:lineRule="auto"/>
        <w:ind w:firstLine="420" w:firstLineChars="200"/>
        <w:rPr>
          <w:rFonts w:ascii="宋体" w:hAnsi="宋体" w:cs="宋体"/>
          <w:szCs w:val="21"/>
        </w:rPr>
      </w:pPr>
      <w:r>
        <w:rPr>
          <w:rFonts w:hint="eastAsia" w:ascii="宋体" w:hAnsi="宋体" w:cs="宋体"/>
          <w:szCs w:val="21"/>
        </w:rPr>
        <w:t>2.2.3采购人或者采购代理机构可以对已发出的招标文件进行必要的澄清，但不得改变采购标的和资格条件。澄清的内容为招标文件的组成部分。澄清的内容可能影响投标文件编制的，采购人或者采购代理机构在投标截止时间至少15日前，通知所有获取招标文件的潜在供应商，不足15日的，顺延提交投标文件的截止时间。</w:t>
      </w:r>
    </w:p>
    <w:p w14:paraId="1991426B">
      <w:pPr>
        <w:adjustRightInd w:val="0"/>
        <w:snapToGrid w:val="0"/>
        <w:spacing w:line="360" w:lineRule="auto"/>
        <w:ind w:firstLine="420" w:firstLineChars="200"/>
        <w:rPr>
          <w:rFonts w:ascii="宋体" w:hAnsi="宋体" w:cs="宋体"/>
          <w:szCs w:val="21"/>
        </w:rPr>
      </w:pPr>
      <w:r>
        <w:rPr>
          <w:rFonts w:hint="eastAsia" w:ascii="宋体" w:hAnsi="宋体" w:cs="宋体"/>
          <w:szCs w:val="21"/>
        </w:rPr>
        <w:t>2.2.4招标文件的澄清将通过交易平台系统内部“答疑文件”告知供应商，发布给所有下载招标文件的供应商，并在原公告发布媒体上发布澄清公告，但不指明澄清问题的来源。对于项目中已经下载招标文件的供应商，系统将通过第三方短信群发方式提醒供应商进行查询。各供应商须重新下载最新的答疑文件，以此编制投标文件。</w:t>
      </w:r>
    </w:p>
    <w:p w14:paraId="48AC78A6">
      <w:pPr>
        <w:adjustRightInd w:val="0"/>
        <w:snapToGrid w:val="0"/>
        <w:spacing w:line="360" w:lineRule="auto"/>
        <w:ind w:firstLine="420" w:firstLineChars="200"/>
        <w:rPr>
          <w:rFonts w:ascii="宋体" w:hAnsi="宋体" w:cs="宋体"/>
          <w:szCs w:val="21"/>
        </w:rPr>
      </w:pPr>
      <w:r>
        <w:rPr>
          <w:rFonts w:hint="eastAsia" w:ascii="宋体" w:hAnsi="宋体" w:cs="宋体"/>
          <w:szCs w:val="21"/>
        </w:rPr>
        <w:t>2.2.5供应商市场主体信息登记时所留手机联系方式要保持畅通，因联系方式变更而未及时更新系统内联系方式的，将会造成收不到短信。此短信仅系友情提示，并不具有任何约束性和必要性，采购人和采购代理机构不承担供应商未收到短信而引起的一切后果和法律责任。</w:t>
      </w:r>
    </w:p>
    <w:p w14:paraId="38CB55DC">
      <w:pPr>
        <w:adjustRightInd w:val="0"/>
        <w:snapToGrid w:val="0"/>
        <w:spacing w:line="360" w:lineRule="auto"/>
        <w:ind w:firstLine="420" w:firstLineChars="200"/>
        <w:rPr>
          <w:rFonts w:ascii="宋体" w:hAnsi="宋体" w:cs="宋体"/>
          <w:szCs w:val="21"/>
        </w:rPr>
      </w:pPr>
      <w:r>
        <w:rPr>
          <w:rFonts w:hint="eastAsia" w:ascii="宋体" w:hAnsi="宋体" w:cs="宋体"/>
          <w:szCs w:val="21"/>
        </w:rPr>
        <w:t>2.2.6因交易中心平台在开标前具有保密性，供应商在投标截止时间前须自行查看项目进展、变更通知、澄清及回复，因供应商未及时查看而造成的后果自行承担。</w:t>
      </w:r>
    </w:p>
    <w:p w14:paraId="6F7869E9">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2.3 招标文件的修改</w:t>
      </w:r>
    </w:p>
    <w:p w14:paraId="05763CFA">
      <w:pPr>
        <w:adjustRightInd w:val="0"/>
        <w:snapToGrid w:val="0"/>
        <w:spacing w:line="360" w:lineRule="auto"/>
        <w:ind w:firstLine="420" w:firstLineChars="200"/>
        <w:rPr>
          <w:rFonts w:ascii="宋体" w:hAnsi="宋体" w:cs="宋体"/>
          <w:szCs w:val="21"/>
        </w:rPr>
      </w:pPr>
      <w:r>
        <w:rPr>
          <w:rFonts w:hint="eastAsia" w:ascii="宋体" w:hAnsi="宋体" w:cs="宋体"/>
          <w:szCs w:val="21"/>
        </w:rPr>
        <w:t>2.3.1 招标文件发出后，在提交投标文件截止时间15日前，采购人可对招标文件进行必要的修改。</w:t>
      </w:r>
    </w:p>
    <w:p w14:paraId="653A4A4E">
      <w:pPr>
        <w:adjustRightInd w:val="0"/>
        <w:snapToGrid w:val="0"/>
        <w:spacing w:line="360" w:lineRule="auto"/>
        <w:ind w:firstLine="420" w:firstLineChars="200"/>
        <w:rPr>
          <w:rFonts w:ascii="宋体" w:hAnsi="宋体" w:cs="宋体"/>
          <w:szCs w:val="21"/>
        </w:rPr>
      </w:pPr>
      <w:r>
        <w:rPr>
          <w:rFonts w:hint="eastAsia" w:ascii="宋体" w:hAnsi="宋体" w:cs="宋体"/>
          <w:szCs w:val="21"/>
        </w:rPr>
        <w:t>2.3.2 采购人、采购代理机构对已发出的招标文件进行的澄清、更正或更改，澄清、更正或更改的内容将作为招标文件的组成部分。采购代理机构将通过招标公告发布网站以“变更公告”和系统内部“答疑文件”的形式告知供应商，对于项目中已经成功报名并下载招标文件的供应商，系统将通过第三方短信群发方式提醒供应商进行查询。各供应商须重新下载最新的答疑文件，以此编制投标文件。</w:t>
      </w:r>
    </w:p>
    <w:p w14:paraId="623A2773">
      <w:pPr>
        <w:adjustRightInd w:val="0"/>
        <w:snapToGrid w:val="0"/>
        <w:spacing w:line="360" w:lineRule="auto"/>
        <w:ind w:firstLine="420" w:firstLineChars="200"/>
        <w:rPr>
          <w:rFonts w:ascii="宋体" w:hAnsi="宋体" w:cs="宋体"/>
          <w:szCs w:val="21"/>
        </w:rPr>
      </w:pPr>
      <w:r>
        <w:rPr>
          <w:rFonts w:hint="eastAsia" w:ascii="宋体" w:hAnsi="宋体" w:cs="宋体"/>
          <w:szCs w:val="21"/>
        </w:rPr>
        <w:t>2.3.3 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14:paraId="66E39B3C">
      <w:pPr>
        <w:adjustRightInd w:val="0"/>
        <w:snapToGrid w:val="0"/>
        <w:spacing w:line="360" w:lineRule="auto"/>
        <w:ind w:firstLine="420" w:firstLineChars="200"/>
        <w:rPr>
          <w:rFonts w:ascii="宋体" w:hAnsi="宋体" w:cs="宋体"/>
          <w:szCs w:val="21"/>
        </w:rPr>
      </w:pPr>
      <w:r>
        <w:rPr>
          <w:rFonts w:hint="eastAsia" w:ascii="宋体" w:hAnsi="宋体" w:cs="宋体"/>
          <w:szCs w:val="21"/>
        </w:rPr>
        <w:t>2.3.4 当招标文件、招标文件的澄清、修改、补充等在同一内容的表述上不一致时，以最后发出的文件为准。</w:t>
      </w:r>
    </w:p>
    <w:p w14:paraId="15DFA888">
      <w:pPr>
        <w:adjustRightInd w:val="0"/>
        <w:snapToGrid w:val="0"/>
        <w:spacing w:line="360" w:lineRule="auto"/>
        <w:ind w:firstLine="420" w:firstLineChars="200"/>
        <w:rPr>
          <w:rFonts w:ascii="宋体" w:hAnsi="宋体" w:cs="宋体"/>
          <w:szCs w:val="21"/>
        </w:rPr>
      </w:pPr>
      <w:r>
        <w:rPr>
          <w:rFonts w:hint="eastAsia" w:ascii="宋体" w:hAnsi="宋体" w:cs="宋体"/>
          <w:szCs w:val="21"/>
        </w:rPr>
        <w:t>2.3.5 为使供应商在编制投标文件时有充分的时间对招标文件的澄清、修改、补充等内容进行研究，采购人将酌情延长提交投标文件的截止时间，具体时间将在招标文件的修改、补充通知中予以明确。</w:t>
      </w:r>
    </w:p>
    <w:p w14:paraId="497DCD4C">
      <w:pPr>
        <w:pStyle w:val="3"/>
        <w:keepNext w:val="0"/>
        <w:keepLines w:val="0"/>
        <w:numPr>
          <w:ilvl w:val="1"/>
          <w:numId w:val="0"/>
        </w:numPr>
        <w:tabs>
          <w:tab w:val="clear" w:pos="3398"/>
        </w:tabs>
        <w:adjustRightInd w:val="0"/>
        <w:snapToGrid w:val="0"/>
        <w:spacing w:before="0" w:after="0"/>
        <w:jc w:val="left"/>
        <w:rPr>
          <w:rFonts w:ascii="宋体" w:hAnsi="宋体" w:cs="宋体"/>
          <w:sz w:val="21"/>
          <w:szCs w:val="21"/>
        </w:rPr>
      </w:pPr>
      <w:bookmarkStart w:id="63" w:name="_Toc24222"/>
      <w:bookmarkStart w:id="64" w:name="_Toc24744"/>
      <w:bookmarkStart w:id="65" w:name="_Toc13979"/>
      <w:r>
        <w:rPr>
          <w:rFonts w:hint="eastAsia" w:ascii="宋体" w:hAnsi="宋体" w:cs="宋体"/>
          <w:sz w:val="21"/>
          <w:szCs w:val="21"/>
        </w:rPr>
        <w:t>3.投标文件</w:t>
      </w:r>
      <w:bookmarkEnd w:id="63"/>
      <w:bookmarkEnd w:id="64"/>
      <w:bookmarkEnd w:id="65"/>
    </w:p>
    <w:p w14:paraId="5D9284DA">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3.1 投标文件的组成</w:t>
      </w:r>
    </w:p>
    <w:p w14:paraId="24117CBC">
      <w:pPr>
        <w:adjustRightInd w:val="0"/>
        <w:snapToGrid w:val="0"/>
        <w:spacing w:line="360" w:lineRule="auto"/>
        <w:ind w:firstLine="420" w:firstLineChars="200"/>
        <w:rPr>
          <w:rFonts w:ascii="宋体" w:hAnsi="宋体" w:cs="宋体"/>
          <w:szCs w:val="21"/>
        </w:rPr>
      </w:pPr>
      <w:r>
        <w:rPr>
          <w:rFonts w:hint="eastAsia" w:ascii="宋体" w:hAnsi="宋体" w:cs="宋体"/>
          <w:szCs w:val="21"/>
        </w:rPr>
        <w:t>3.1.1 投标文件应包括下列内容：</w:t>
      </w:r>
    </w:p>
    <w:p w14:paraId="558C853A">
      <w:pPr>
        <w:adjustRightInd w:val="0"/>
        <w:snapToGrid w:val="0"/>
        <w:spacing w:line="360" w:lineRule="auto"/>
        <w:ind w:firstLine="420" w:firstLineChars="200"/>
        <w:rPr>
          <w:rFonts w:ascii="宋体" w:hAnsi="宋体" w:cs="宋体"/>
          <w:szCs w:val="21"/>
        </w:rPr>
      </w:pPr>
      <w:r>
        <w:rPr>
          <w:rFonts w:hint="eastAsia" w:ascii="宋体" w:hAnsi="宋体" w:cs="宋体"/>
          <w:szCs w:val="21"/>
        </w:rPr>
        <w:t>详见本文件“第六章 投标文件格式”。</w:t>
      </w:r>
    </w:p>
    <w:p w14:paraId="0A175AF0">
      <w:pPr>
        <w:adjustRightInd w:val="0"/>
        <w:snapToGrid w:val="0"/>
        <w:spacing w:line="360" w:lineRule="auto"/>
        <w:ind w:firstLine="420" w:firstLineChars="200"/>
        <w:rPr>
          <w:rFonts w:ascii="宋体" w:hAnsi="宋体" w:cs="宋体"/>
          <w:szCs w:val="21"/>
        </w:rPr>
      </w:pPr>
      <w:r>
        <w:rPr>
          <w:rFonts w:hint="eastAsia" w:ascii="宋体" w:hAnsi="宋体" w:cs="宋体"/>
          <w:szCs w:val="21"/>
        </w:rPr>
        <w:t>供应商在评标过程中作出的符合法律法规和招标文件规定的澄清、说明、补正，构成投标文件的组成部分。</w:t>
      </w:r>
    </w:p>
    <w:p w14:paraId="7461DF89">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3.2 投标报价</w:t>
      </w:r>
    </w:p>
    <w:p w14:paraId="7B38924E">
      <w:pPr>
        <w:adjustRightInd w:val="0"/>
        <w:snapToGrid w:val="0"/>
        <w:spacing w:line="360" w:lineRule="auto"/>
        <w:ind w:firstLine="420" w:firstLineChars="200"/>
        <w:rPr>
          <w:rFonts w:ascii="宋体" w:hAnsi="宋体" w:cs="宋体"/>
          <w:szCs w:val="21"/>
        </w:rPr>
      </w:pPr>
      <w:r>
        <w:rPr>
          <w:rFonts w:hint="eastAsia" w:ascii="宋体" w:hAnsi="宋体" w:cs="宋体"/>
          <w:szCs w:val="21"/>
        </w:rPr>
        <w:t>3.2.1.投标报价应包括本文件第五章采购需求中要求的全部内容，供应商参考招标文件提供的投标报价表格式填写,</w:t>
      </w:r>
      <w:r>
        <w:rPr>
          <w:rFonts w:hint="eastAsia" w:ascii="宋体" w:hAnsi="宋体" w:cs="宋体"/>
          <w:b/>
          <w:bCs/>
          <w:szCs w:val="21"/>
        </w:rPr>
        <w:t>该项目报价为所有项的综合劳务派遣服务管理费</w:t>
      </w:r>
      <w:r>
        <w:rPr>
          <w:rFonts w:hint="eastAsia" w:ascii="宋体" w:hAnsi="宋体" w:cs="宋体"/>
          <w:szCs w:val="21"/>
        </w:rPr>
        <w:t>，所有费用包含在综合劳务派遣管理费中。招标人不再支付其他费用。</w:t>
      </w:r>
    </w:p>
    <w:p w14:paraId="0B77743D">
      <w:pPr>
        <w:adjustRightInd w:val="0"/>
        <w:snapToGrid w:val="0"/>
        <w:spacing w:line="360" w:lineRule="auto"/>
        <w:ind w:firstLine="420" w:firstLineChars="200"/>
        <w:rPr>
          <w:rFonts w:ascii="宋体" w:hAnsi="宋体" w:cs="宋体"/>
          <w:szCs w:val="21"/>
        </w:rPr>
      </w:pPr>
      <w:r>
        <w:rPr>
          <w:rFonts w:hint="eastAsia" w:ascii="宋体" w:hAnsi="宋体" w:cs="宋体"/>
          <w:szCs w:val="21"/>
        </w:rPr>
        <w:t>3.2.2.投标报价为供应商在投标文件中提出的各项支付金额总和。包括完成该服务项目的成本、利润、税金、风险等所有伴随的其他费用。</w:t>
      </w:r>
    </w:p>
    <w:p w14:paraId="228BFEB5">
      <w:pPr>
        <w:adjustRightInd w:val="0"/>
        <w:snapToGrid w:val="0"/>
        <w:spacing w:line="360" w:lineRule="auto"/>
        <w:ind w:firstLine="420" w:firstLineChars="200"/>
        <w:rPr>
          <w:rFonts w:ascii="宋体" w:hAnsi="宋体" w:cs="宋体"/>
          <w:szCs w:val="21"/>
        </w:rPr>
      </w:pPr>
      <w:r>
        <w:rPr>
          <w:rFonts w:hint="eastAsia" w:ascii="宋体" w:hAnsi="宋体" w:cs="宋体"/>
          <w:szCs w:val="21"/>
        </w:rPr>
        <w:t>3.2.3.投标报价应完全包括招标文件规定的服务范围，不得任意分割或合并所规定的分项。</w:t>
      </w:r>
    </w:p>
    <w:p w14:paraId="3BACD083">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3.2.4.供应商只允许有一个报价，采购人和招标代理机构不接受有任何选择报价的投标。 </w:t>
      </w:r>
    </w:p>
    <w:p w14:paraId="28BB9DCE">
      <w:pPr>
        <w:adjustRightInd w:val="0"/>
        <w:snapToGrid w:val="0"/>
        <w:spacing w:line="360" w:lineRule="auto"/>
        <w:ind w:firstLine="420" w:firstLineChars="200"/>
        <w:rPr>
          <w:rFonts w:ascii="宋体" w:hAnsi="宋体" w:cs="宋体"/>
          <w:szCs w:val="21"/>
        </w:rPr>
      </w:pPr>
      <w:r>
        <w:rPr>
          <w:rFonts w:hint="eastAsia" w:ascii="宋体" w:hAnsi="宋体" w:cs="宋体"/>
          <w:szCs w:val="21"/>
        </w:rPr>
        <w:t>3.2.5.本项目采购预算（最高限价）见供应商须知前附表。</w:t>
      </w:r>
    </w:p>
    <w:p w14:paraId="1F7AE449">
      <w:pPr>
        <w:adjustRightInd w:val="0"/>
        <w:snapToGrid w:val="0"/>
        <w:spacing w:line="360" w:lineRule="auto"/>
        <w:ind w:firstLine="420" w:firstLineChars="200"/>
        <w:rPr>
          <w:rFonts w:ascii="宋体" w:hAnsi="宋体" w:cs="宋体"/>
          <w:szCs w:val="21"/>
        </w:rPr>
      </w:pPr>
      <w:r>
        <w:rPr>
          <w:rFonts w:hint="eastAsia" w:ascii="宋体" w:hAnsi="宋体" w:cs="宋体"/>
          <w:szCs w:val="21"/>
        </w:rPr>
        <w:t>3.2.6.投标单位不得以任何理由在投标截止后对投标报价予以修改，报价在服务期内是固定的，不因任何原因而改变。任何包含价格调整要求和条件的投标，将被视为非实质性响应投标而予与拒绝。</w:t>
      </w:r>
    </w:p>
    <w:p w14:paraId="7073DE51">
      <w:pPr>
        <w:adjustRightInd w:val="0"/>
        <w:snapToGrid w:val="0"/>
        <w:spacing w:line="360" w:lineRule="auto"/>
        <w:ind w:firstLine="420" w:firstLineChars="200"/>
        <w:rPr>
          <w:rFonts w:ascii="宋体" w:hAnsi="宋体" w:cs="宋体"/>
          <w:szCs w:val="21"/>
        </w:rPr>
      </w:pPr>
      <w:r>
        <w:rPr>
          <w:rFonts w:hint="eastAsia" w:ascii="宋体" w:hAnsi="宋体" w:cs="宋体"/>
          <w:szCs w:val="21"/>
        </w:rPr>
        <w:t>3.2.7。投标报价的其他要求详见供应商须知前附表。</w:t>
      </w:r>
    </w:p>
    <w:p w14:paraId="283E1225">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3.3 投标有效期</w:t>
      </w:r>
    </w:p>
    <w:p w14:paraId="3129E6A4">
      <w:pPr>
        <w:adjustRightInd w:val="0"/>
        <w:snapToGrid w:val="0"/>
        <w:spacing w:line="360" w:lineRule="auto"/>
        <w:ind w:firstLine="420" w:firstLineChars="200"/>
        <w:rPr>
          <w:rFonts w:ascii="宋体" w:hAnsi="宋体" w:cs="宋体"/>
          <w:szCs w:val="21"/>
        </w:rPr>
      </w:pPr>
      <w:r>
        <w:rPr>
          <w:rFonts w:hint="eastAsia" w:ascii="宋体" w:hAnsi="宋体" w:cs="宋体"/>
          <w:szCs w:val="21"/>
        </w:rPr>
        <w:t>3.3.1 除供应商须知前附表另有规定外，投标有效期为投标文件递交截止之日起90日历天。投标有效期从提交投标文件的截止之日起算。投标文件中承诺的投标有效期少于招标文件中载明的投标有效期的，投标无效。</w:t>
      </w:r>
    </w:p>
    <w:p w14:paraId="5823D5F5">
      <w:pPr>
        <w:adjustRightInd w:val="0"/>
        <w:snapToGrid w:val="0"/>
        <w:spacing w:line="360" w:lineRule="auto"/>
        <w:ind w:firstLine="420" w:firstLineChars="200"/>
        <w:rPr>
          <w:rFonts w:ascii="宋体" w:hAnsi="宋体" w:cs="宋体"/>
          <w:szCs w:val="21"/>
        </w:rPr>
      </w:pPr>
      <w:r>
        <w:rPr>
          <w:rFonts w:hint="eastAsia" w:ascii="宋体" w:hAnsi="宋体" w:cs="宋体"/>
          <w:szCs w:val="21"/>
        </w:rPr>
        <w:t>3.3.2 在投标有效期内，供应商撤销投标文件的，应承担招标文件和法律规定的责任。</w:t>
      </w:r>
    </w:p>
    <w:p w14:paraId="4C7374C8">
      <w:pPr>
        <w:adjustRightInd w:val="0"/>
        <w:snapToGrid w:val="0"/>
        <w:spacing w:line="360" w:lineRule="auto"/>
        <w:ind w:firstLine="420" w:firstLineChars="200"/>
        <w:rPr>
          <w:rFonts w:ascii="宋体" w:hAnsi="宋体" w:cs="宋体"/>
          <w:szCs w:val="21"/>
        </w:rPr>
      </w:pPr>
      <w:r>
        <w:rPr>
          <w:rFonts w:hint="eastAsia" w:ascii="宋体" w:hAnsi="宋体" w:cs="宋体"/>
          <w:szCs w:val="21"/>
        </w:rPr>
        <w:t>3.3.3 出现特殊情况需要延长投标有效期的，采购人以书面形式通知所有供应商延长投标有效期，供应商应予以书面答复。同意延长的，不得要求或被允许修改其投标文件；供应商拒绝延长的，其投标失效。</w:t>
      </w:r>
    </w:p>
    <w:p w14:paraId="70E20855">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3.4 投标保证金</w:t>
      </w:r>
    </w:p>
    <w:p w14:paraId="38EC55D2">
      <w:pPr>
        <w:adjustRightInd w:val="0"/>
        <w:snapToGrid w:val="0"/>
        <w:spacing w:line="360" w:lineRule="auto"/>
        <w:ind w:firstLine="420" w:firstLineChars="200"/>
        <w:rPr>
          <w:rFonts w:ascii="宋体" w:hAnsi="宋体" w:cs="宋体"/>
          <w:szCs w:val="21"/>
        </w:rPr>
      </w:pPr>
      <w:r>
        <w:rPr>
          <w:rFonts w:hint="eastAsia" w:ascii="宋体" w:hAnsi="宋体" w:cs="宋体"/>
          <w:szCs w:val="21"/>
        </w:rPr>
        <w:t>参照《河南省财政厅关于优化政府采购营商环境有关问题的通知》【豫财购〔2019〕4 号】文件的要求，本项目不收取投标保证金。供应商须在投标文件中以“投标承诺函”的形式替代投标保证金。对于未能提供“投标承诺函”的投标文件，将视为不响应招标文件而予以拒绝。</w:t>
      </w:r>
    </w:p>
    <w:p w14:paraId="5A6621F0">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3.5 资格审查资料</w:t>
      </w:r>
    </w:p>
    <w:p w14:paraId="17D2A737">
      <w:pPr>
        <w:adjustRightInd w:val="0"/>
        <w:snapToGrid w:val="0"/>
        <w:spacing w:line="360" w:lineRule="auto"/>
        <w:ind w:firstLine="420" w:firstLineChars="200"/>
        <w:rPr>
          <w:rFonts w:ascii="宋体" w:hAnsi="宋体" w:cs="宋体"/>
          <w:szCs w:val="21"/>
        </w:rPr>
      </w:pPr>
      <w:r>
        <w:rPr>
          <w:rFonts w:hint="eastAsia" w:ascii="宋体" w:hAnsi="宋体" w:cs="宋体"/>
          <w:szCs w:val="21"/>
        </w:rPr>
        <w:t>供应商应按规定提供资格审查资料，以证明其满足本章第 1.4.1 款规定的资格条件和要求。</w:t>
      </w:r>
    </w:p>
    <w:p w14:paraId="465B6C88">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特别提醒：资格审查要求的所有内容须同时上传至河南省公共资源交易中心电子交易平台“资格审查材料”一栏中。因未上传至指定位置导致资格审查不通过的，由投标人自行承担责任。</w:t>
      </w:r>
    </w:p>
    <w:p w14:paraId="4DF7521C">
      <w:pPr>
        <w:adjustRightInd w:val="0"/>
        <w:snapToGrid w:val="0"/>
        <w:spacing w:line="360" w:lineRule="auto"/>
        <w:ind w:firstLine="420" w:firstLineChars="200"/>
        <w:rPr>
          <w:rFonts w:ascii="宋体" w:hAnsi="宋体" w:cs="宋体"/>
          <w:szCs w:val="21"/>
        </w:rPr>
      </w:pPr>
      <w:r>
        <w:rPr>
          <w:rFonts w:hint="eastAsia" w:ascii="宋体" w:hAnsi="宋体" w:cs="宋体"/>
          <w:szCs w:val="21"/>
        </w:rPr>
        <w:t>上述所需材料供应商应按前附表规定从河南省公共资源交易中心会员诚信库选择相应电子文件编入投标文件。供应商应及时更新河南省公共资源交易中心会员诚信库中的材料，确保相关材料真实有效。</w:t>
      </w:r>
    </w:p>
    <w:p w14:paraId="0EC79F8A">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3.6 备选投标方案（不允许）</w:t>
      </w:r>
    </w:p>
    <w:p w14:paraId="6B170ABB">
      <w:pPr>
        <w:adjustRightInd w:val="0"/>
        <w:snapToGrid w:val="0"/>
        <w:spacing w:line="360" w:lineRule="auto"/>
        <w:ind w:firstLine="420" w:firstLineChars="200"/>
        <w:rPr>
          <w:rFonts w:ascii="宋体" w:hAnsi="宋体" w:cs="宋体"/>
          <w:szCs w:val="21"/>
        </w:rPr>
      </w:pPr>
      <w:r>
        <w:rPr>
          <w:rFonts w:hint="eastAsia" w:ascii="宋体" w:hAnsi="宋体" w:cs="宋体"/>
          <w:szCs w:val="21"/>
        </w:rPr>
        <w:t>3.6.1 除供应商须知前附表规定允许外，供应商不得递交备选投标方案，否则其投标将被否决。</w:t>
      </w:r>
    </w:p>
    <w:p w14:paraId="74FF2B3E">
      <w:pPr>
        <w:adjustRightInd w:val="0"/>
        <w:snapToGrid w:val="0"/>
        <w:spacing w:line="360" w:lineRule="auto"/>
        <w:ind w:firstLine="420" w:firstLineChars="200"/>
        <w:rPr>
          <w:rFonts w:ascii="宋体" w:hAnsi="宋体" w:cs="宋体"/>
          <w:szCs w:val="21"/>
        </w:rPr>
      </w:pPr>
      <w:r>
        <w:rPr>
          <w:rFonts w:hint="eastAsia" w:ascii="宋体" w:hAnsi="宋体" w:cs="宋体"/>
          <w:szCs w:val="21"/>
        </w:rPr>
        <w:t>3.6.2 允许供应商递交备选投标方案的，只有中标人所递交的备选投标方案方可予以考虑。评标委员会认为中标人的备选投标方案优于其按照招标文件要求编制的投标方案的，供应商可以接受该备选投标方案。</w:t>
      </w:r>
    </w:p>
    <w:p w14:paraId="4024112C">
      <w:pPr>
        <w:adjustRightInd w:val="0"/>
        <w:snapToGrid w:val="0"/>
        <w:spacing w:line="360" w:lineRule="auto"/>
        <w:ind w:firstLine="420" w:firstLineChars="200"/>
        <w:rPr>
          <w:rFonts w:ascii="宋体" w:hAnsi="宋体" w:cs="宋体"/>
          <w:szCs w:val="21"/>
        </w:rPr>
      </w:pPr>
      <w:r>
        <w:rPr>
          <w:rFonts w:hint="eastAsia" w:ascii="宋体" w:hAnsi="宋体" w:cs="宋体"/>
          <w:szCs w:val="21"/>
        </w:rPr>
        <w:t>3.6.3 供应商提供两个或两个以上投标报价，或者在投标文件中提供一个报价，但同时提供两个或两个以上供货方案的，视为提供备选方案。</w:t>
      </w:r>
    </w:p>
    <w:p w14:paraId="00D39B52">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3.7 投标文件的编制</w:t>
      </w:r>
    </w:p>
    <w:p w14:paraId="4DAE58AD">
      <w:pPr>
        <w:adjustRightInd w:val="0"/>
        <w:snapToGrid w:val="0"/>
        <w:spacing w:line="360" w:lineRule="auto"/>
        <w:ind w:firstLine="420" w:firstLineChars="200"/>
        <w:rPr>
          <w:rFonts w:ascii="宋体" w:hAnsi="宋体" w:cs="宋体"/>
          <w:szCs w:val="21"/>
        </w:rPr>
      </w:pPr>
      <w:r>
        <w:rPr>
          <w:rFonts w:hint="eastAsia" w:ascii="宋体" w:hAnsi="宋体" w:cs="宋体"/>
          <w:szCs w:val="21"/>
        </w:rPr>
        <w:t>3.7.1 投标文件应按第六章“投标文件格式”使用河南省公共资源交易系统投标文件制作专用工具软件编制。</w:t>
      </w:r>
    </w:p>
    <w:p w14:paraId="09FC277E">
      <w:pPr>
        <w:adjustRightInd w:val="0"/>
        <w:snapToGrid w:val="0"/>
        <w:spacing w:line="360" w:lineRule="auto"/>
        <w:ind w:firstLine="420" w:firstLineChars="200"/>
        <w:rPr>
          <w:rFonts w:ascii="宋体" w:hAnsi="宋体" w:cs="宋体"/>
          <w:szCs w:val="21"/>
        </w:rPr>
      </w:pPr>
      <w:r>
        <w:rPr>
          <w:rFonts w:hint="eastAsia" w:ascii="宋体" w:hAnsi="宋体" w:cs="宋体"/>
          <w:szCs w:val="21"/>
        </w:rPr>
        <w:t>3.7.2 供应商应当按照招标文件的要求编制投标文件。投标文件应当对招标文件提出的要求和条件作出明确响应。投标文件在满足招标文件实质性要求的基础上，可以提出比招标文件要求更有利于采购人的承诺。</w:t>
      </w:r>
    </w:p>
    <w:p w14:paraId="3D164491">
      <w:pPr>
        <w:adjustRightInd w:val="0"/>
        <w:snapToGrid w:val="0"/>
        <w:spacing w:line="360" w:lineRule="auto"/>
        <w:ind w:firstLine="420" w:firstLineChars="200"/>
        <w:rPr>
          <w:rFonts w:ascii="宋体" w:hAnsi="宋体" w:cs="宋体"/>
          <w:szCs w:val="21"/>
        </w:rPr>
      </w:pPr>
      <w:r>
        <w:rPr>
          <w:rFonts w:hint="eastAsia" w:ascii="宋体" w:hAnsi="宋体" w:cs="宋体"/>
          <w:szCs w:val="21"/>
        </w:rPr>
        <w:t>3.7.3 投标文件全部采用电子文档，除供应商须知前附表另有规定外，投标文件所附证书证件均为原件扫描件，并采用单位和个人数字证书，按招标文件要求在相应位置加盖电子印章。由供应商的法定代表人（单位负责人）签字或加盖电子印章的，应附法定代表人（单位负责人）身份证明， 由代理人签字或加盖电子印章的，应附由法定代表人（单位负责人）签署的授权委托书。签字或盖章的具体要求见供应商须知前附表。</w:t>
      </w:r>
    </w:p>
    <w:p w14:paraId="1718DC8B">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3.7.4 投标所需相关的资质、证明等资料均需先上传至河南省公共资源交易中心诚信库并经核验，投标人制作投标文件时所需资料须从诚信库中提取。</w:t>
      </w:r>
    </w:p>
    <w:p w14:paraId="5D998DFF">
      <w:pPr>
        <w:pStyle w:val="3"/>
        <w:keepNext w:val="0"/>
        <w:keepLines w:val="0"/>
        <w:numPr>
          <w:ilvl w:val="1"/>
          <w:numId w:val="0"/>
        </w:numPr>
        <w:tabs>
          <w:tab w:val="clear" w:pos="3398"/>
        </w:tabs>
        <w:adjustRightInd w:val="0"/>
        <w:snapToGrid w:val="0"/>
        <w:spacing w:before="0" w:after="0"/>
        <w:jc w:val="both"/>
        <w:rPr>
          <w:rFonts w:ascii="宋体" w:hAnsi="宋体" w:cs="宋体"/>
          <w:sz w:val="21"/>
          <w:szCs w:val="21"/>
        </w:rPr>
      </w:pPr>
      <w:bookmarkStart w:id="66" w:name="_Toc21642"/>
      <w:bookmarkStart w:id="67" w:name="_Toc3518"/>
      <w:bookmarkStart w:id="68" w:name="_Toc6339"/>
      <w:r>
        <w:rPr>
          <w:rFonts w:hint="eastAsia" w:ascii="宋体" w:hAnsi="宋体" w:cs="宋体"/>
          <w:sz w:val="21"/>
          <w:szCs w:val="21"/>
        </w:rPr>
        <w:t>4.投标</w:t>
      </w:r>
      <w:bookmarkEnd w:id="66"/>
      <w:bookmarkEnd w:id="67"/>
      <w:bookmarkEnd w:id="68"/>
    </w:p>
    <w:p w14:paraId="08157599">
      <w:pPr>
        <w:adjustRightInd w:val="0"/>
        <w:snapToGrid w:val="0"/>
        <w:spacing w:line="360" w:lineRule="auto"/>
        <w:ind w:firstLine="422" w:firstLineChars="200"/>
        <w:outlineLvl w:val="3"/>
        <w:rPr>
          <w:rFonts w:ascii="宋体" w:hAnsi="宋体" w:cs="宋体"/>
          <w:b/>
          <w:szCs w:val="21"/>
        </w:rPr>
      </w:pPr>
      <w:r>
        <w:rPr>
          <w:rFonts w:hint="eastAsia" w:ascii="宋体" w:hAnsi="宋体" w:cs="宋体"/>
          <w:b/>
          <w:szCs w:val="21"/>
        </w:rPr>
        <w:t>4.1 投标文件的加密</w:t>
      </w:r>
    </w:p>
    <w:p w14:paraId="274739EE">
      <w:pPr>
        <w:adjustRightInd w:val="0"/>
        <w:snapToGrid w:val="0"/>
        <w:spacing w:line="360" w:lineRule="auto"/>
        <w:ind w:firstLine="420" w:firstLineChars="200"/>
        <w:rPr>
          <w:rFonts w:ascii="宋体" w:hAnsi="宋体" w:cs="宋体"/>
          <w:szCs w:val="21"/>
        </w:rPr>
      </w:pPr>
      <w:r>
        <w:rPr>
          <w:rFonts w:hint="eastAsia" w:ascii="宋体" w:hAnsi="宋体" w:cs="宋体"/>
          <w:szCs w:val="21"/>
        </w:rPr>
        <w:t>4.1.1 网上上传的电子投标文件应使用数字证书认证并加密。</w:t>
      </w:r>
    </w:p>
    <w:p w14:paraId="02C2543C">
      <w:pPr>
        <w:adjustRightInd w:val="0"/>
        <w:snapToGrid w:val="0"/>
        <w:spacing w:line="360" w:lineRule="auto"/>
        <w:ind w:firstLine="422" w:firstLineChars="200"/>
        <w:outlineLvl w:val="3"/>
        <w:rPr>
          <w:rFonts w:ascii="宋体" w:hAnsi="宋体" w:cs="宋体"/>
          <w:b/>
          <w:szCs w:val="21"/>
        </w:rPr>
      </w:pPr>
      <w:bookmarkStart w:id="69" w:name="_Toc22547"/>
      <w:r>
        <w:rPr>
          <w:rFonts w:hint="eastAsia" w:ascii="宋体" w:hAnsi="宋体" w:cs="宋体"/>
          <w:b/>
          <w:szCs w:val="21"/>
        </w:rPr>
        <w:t>4.2 投标文件的递交</w:t>
      </w:r>
      <w:bookmarkEnd w:id="69"/>
    </w:p>
    <w:p w14:paraId="4EFD2584">
      <w:pPr>
        <w:adjustRightInd w:val="0"/>
        <w:snapToGrid w:val="0"/>
        <w:spacing w:line="360" w:lineRule="auto"/>
        <w:ind w:firstLine="420" w:firstLineChars="200"/>
        <w:rPr>
          <w:rFonts w:ascii="宋体" w:hAnsi="宋体" w:cs="宋体"/>
          <w:szCs w:val="21"/>
        </w:rPr>
      </w:pPr>
      <w:r>
        <w:rPr>
          <w:rFonts w:hint="eastAsia" w:ascii="宋体" w:hAnsi="宋体" w:cs="宋体"/>
          <w:szCs w:val="21"/>
        </w:rPr>
        <w:t>4.2.1 供应商应在第二章供应商须知前附表中规定的投标截止时间前上传加密的电子投标文件（*.hntf）到会员系统的指定位置。上传时必须得到电脑“上传成功”的确认。请供应商在上传时认真检查上传投标文件是否完整、正确。供应商因交易中心投标系统问题无法上传电子投标文件时，请在工作时间与河南省公共资源交易中心联系。</w:t>
      </w:r>
    </w:p>
    <w:p w14:paraId="28690252">
      <w:pPr>
        <w:adjustRightInd w:val="0"/>
        <w:snapToGrid w:val="0"/>
        <w:spacing w:line="360" w:lineRule="auto"/>
        <w:ind w:firstLine="420" w:firstLineChars="200"/>
        <w:rPr>
          <w:rFonts w:ascii="宋体" w:hAnsi="宋体" w:cs="宋体"/>
          <w:szCs w:val="21"/>
        </w:rPr>
      </w:pPr>
      <w:r>
        <w:rPr>
          <w:rFonts w:hint="eastAsia" w:ascii="宋体" w:hAnsi="宋体" w:cs="宋体"/>
          <w:szCs w:val="21"/>
        </w:rPr>
        <w:t>4.2.2除供应商须知前附表另有规定外，供应商所递交的投标文件不予退还。</w:t>
      </w:r>
    </w:p>
    <w:p w14:paraId="4F0424A9">
      <w:pPr>
        <w:adjustRightInd w:val="0"/>
        <w:snapToGrid w:val="0"/>
        <w:spacing w:line="360" w:lineRule="auto"/>
        <w:ind w:firstLine="422" w:firstLineChars="200"/>
        <w:outlineLvl w:val="3"/>
        <w:rPr>
          <w:rFonts w:ascii="宋体" w:hAnsi="宋体" w:cs="宋体"/>
          <w:b/>
          <w:szCs w:val="21"/>
        </w:rPr>
      </w:pPr>
      <w:r>
        <w:rPr>
          <w:rFonts w:hint="eastAsia" w:ascii="宋体" w:hAnsi="宋体" w:cs="宋体"/>
          <w:b/>
          <w:szCs w:val="21"/>
        </w:rPr>
        <w:t>4.3 投标文件的修改与撤回</w:t>
      </w:r>
    </w:p>
    <w:p w14:paraId="773A37FF">
      <w:pPr>
        <w:adjustRightInd w:val="0"/>
        <w:snapToGrid w:val="0"/>
        <w:spacing w:line="360" w:lineRule="auto"/>
        <w:ind w:firstLine="420" w:firstLineChars="200"/>
        <w:rPr>
          <w:rFonts w:ascii="宋体" w:hAnsi="宋体" w:cs="宋体"/>
          <w:szCs w:val="21"/>
        </w:rPr>
      </w:pPr>
      <w:r>
        <w:rPr>
          <w:rFonts w:hint="eastAsia" w:ascii="宋体" w:hAnsi="宋体" w:cs="宋体"/>
          <w:szCs w:val="21"/>
        </w:rPr>
        <w:t>4.3.1 在第二章供应商须知前附表中规定的投标截止时间前，供应商可以多次修改或撤回已递交的投标文件，最终投标文件以投标截止时间前完成上传至河南省公共资源交易中心交易系统最后一份投标文件为准。</w:t>
      </w:r>
    </w:p>
    <w:p w14:paraId="10F6C59C">
      <w:pPr>
        <w:pStyle w:val="3"/>
        <w:keepNext w:val="0"/>
        <w:keepLines w:val="0"/>
        <w:numPr>
          <w:ilvl w:val="1"/>
          <w:numId w:val="0"/>
        </w:numPr>
        <w:tabs>
          <w:tab w:val="clear" w:pos="3398"/>
        </w:tabs>
        <w:adjustRightInd w:val="0"/>
        <w:snapToGrid w:val="0"/>
        <w:spacing w:before="0" w:after="0"/>
        <w:jc w:val="both"/>
        <w:rPr>
          <w:rFonts w:ascii="宋体" w:hAnsi="宋体" w:cs="宋体"/>
          <w:sz w:val="21"/>
          <w:szCs w:val="21"/>
        </w:rPr>
      </w:pPr>
      <w:bookmarkStart w:id="70" w:name="_Toc24307"/>
      <w:bookmarkStart w:id="71" w:name="_Toc14452"/>
      <w:bookmarkStart w:id="72" w:name="_Toc19348"/>
      <w:r>
        <w:rPr>
          <w:rFonts w:hint="eastAsia" w:ascii="宋体" w:hAnsi="宋体" w:cs="宋体"/>
          <w:sz w:val="21"/>
          <w:szCs w:val="21"/>
        </w:rPr>
        <w:t>5.开标</w:t>
      </w:r>
      <w:bookmarkEnd w:id="70"/>
      <w:bookmarkEnd w:id="71"/>
      <w:bookmarkEnd w:id="72"/>
    </w:p>
    <w:p w14:paraId="6D119037">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5.1 开标时间和地点</w:t>
      </w:r>
    </w:p>
    <w:p w14:paraId="23E76E07">
      <w:pPr>
        <w:adjustRightInd w:val="0"/>
        <w:snapToGrid w:val="0"/>
        <w:spacing w:line="360" w:lineRule="auto"/>
        <w:ind w:firstLine="420" w:firstLineChars="200"/>
        <w:rPr>
          <w:rFonts w:ascii="宋体" w:hAnsi="宋体" w:cs="宋体"/>
          <w:szCs w:val="21"/>
        </w:rPr>
      </w:pPr>
      <w:r>
        <w:rPr>
          <w:rFonts w:hint="eastAsia" w:ascii="宋体" w:hAnsi="宋体" w:cs="宋体"/>
          <w:szCs w:val="21"/>
        </w:rPr>
        <w:t>5.1.1采购人在本章第 4.2.1 项规定的投标截止时间（开标时间）和供应商须知前附表规定的地点公开开标。本项目采用“远程不见面”开标方式，供应商无需到河南省公共资源交易中心现场参加开标会议，无需到达现场提交原件资料。不见面服务的具体事宜请查阅河南省公共资源交易中心网站“办事指南”专区的《新交易平台使用手册（培训资料）》。供应商应当在投标截止时间前，登录远程开标大厅，在线准时参加开标活动并进行投标文件解密等，如因供应商未及时解密造成的后果自行负责。</w:t>
      </w:r>
    </w:p>
    <w:p w14:paraId="4C2D3866">
      <w:pPr>
        <w:adjustRightInd w:val="0"/>
        <w:snapToGrid w:val="0"/>
        <w:spacing w:line="360" w:lineRule="auto"/>
        <w:ind w:firstLine="420" w:firstLineChars="200"/>
        <w:rPr>
          <w:rFonts w:ascii="宋体" w:hAnsi="宋体" w:cs="宋体"/>
          <w:szCs w:val="21"/>
        </w:rPr>
      </w:pPr>
      <w:r>
        <w:rPr>
          <w:rFonts w:hint="eastAsia" w:ascii="宋体" w:hAnsi="宋体" w:cs="宋体"/>
          <w:szCs w:val="21"/>
        </w:rPr>
        <w:t>5.1.2 投标人须在系统规定的解密时间内完成解密。如投标人因自身原因、在指定时限内没有解密成功的，其投标将不能被接受，投标人自行承担相应后果。</w:t>
      </w:r>
    </w:p>
    <w:p w14:paraId="1FF8E7C9">
      <w:pPr>
        <w:adjustRightInd w:val="0"/>
        <w:snapToGrid w:val="0"/>
        <w:spacing w:line="360" w:lineRule="auto"/>
        <w:ind w:firstLine="420" w:firstLineChars="200"/>
        <w:rPr>
          <w:rFonts w:ascii="宋体" w:hAnsi="宋体" w:cs="宋体"/>
          <w:szCs w:val="21"/>
        </w:rPr>
      </w:pPr>
      <w:r>
        <w:rPr>
          <w:rFonts w:hint="eastAsia" w:ascii="宋体" w:hAnsi="宋体" w:cs="宋体"/>
          <w:szCs w:val="21"/>
        </w:rPr>
        <w:t>5.1.3投标人未参加远程开标的，视同认可开标结果。</w:t>
      </w:r>
    </w:p>
    <w:p w14:paraId="6B6FAD8E">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5.2 开标程序</w:t>
      </w:r>
    </w:p>
    <w:p w14:paraId="3C6F54C9">
      <w:pPr>
        <w:adjustRightInd w:val="0"/>
        <w:snapToGrid w:val="0"/>
        <w:spacing w:line="360" w:lineRule="auto"/>
        <w:ind w:firstLine="420" w:firstLineChars="200"/>
        <w:rPr>
          <w:rFonts w:ascii="宋体" w:hAnsi="宋体" w:cs="宋体"/>
          <w:szCs w:val="21"/>
        </w:rPr>
      </w:pPr>
      <w:r>
        <w:rPr>
          <w:rFonts w:hint="eastAsia" w:ascii="宋体" w:hAnsi="宋体" w:cs="宋体"/>
          <w:szCs w:val="21"/>
        </w:rPr>
        <w:t>5.2.1 按下列程序进行开标：</w:t>
      </w:r>
    </w:p>
    <w:p w14:paraId="6AAD3A26">
      <w:pPr>
        <w:adjustRightInd w:val="0"/>
        <w:snapToGrid w:val="0"/>
        <w:spacing w:line="360" w:lineRule="auto"/>
        <w:ind w:firstLine="420" w:firstLineChars="200"/>
        <w:rPr>
          <w:rFonts w:ascii="宋体" w:hAnsi="宋体" w:cs="宋体"/>
          <w:szCs w:val="21"/>
        </w:rPr>
      </w:pPr>
      <w:bookmarkStart w:id="73" w:name="_Toc28891"/>
      <w:r>
        <w:rPr>
          <w:rFonts w:hint="eastAsia" w:ascii="宋体" w:hAnsi="宋体" w:cs="宋体"/>
          <w:szCs w:val="21"/>
        </w:rPr>
        <w:t>（1）公布投标单位；</w:t>
      </w:r>
    </w:p>
    <w:p w14:paraId="7FC53C5B">
      <w:pPr>
        <w:adjustRightInd w:val="0"/>
        <w:snapToGrid w:val="0"/>
        <w:spacing w:line="360" w:lineRule="auto"/>
        <w:ind w:firstLine="420" w:firstLineChars="200"/>
        <w:rPr>
          <w:rFonts w:ascii="宋体" w:hAnsi="宋体" w:cs="宋体"/>
          <w:szCs w:val="21"/>
        </w:rPr>
      </w:pPr>
      <w:r>
        <w:rPr>
          <w:rFonts w:hint="eastAsia" w:ascii="宋体" w:hAnsi="宋体" w:cs="宋体"/>
          <w:szCs w:val="21"/>
        </w:rPr>
        <w:t>（2）投标人远程解密投标文件；</w:t>
      </w:r>
    </w:p>
    <w:p w14:paraId="205C9686">
      <w:pPr>
        <w:adjustRightInd w:val="0"/>
        <w:snapToGrid w:val="0"/>
        <w:spacing w:line="360" w:lineRule="auto"/>
        <w:ind w:firstLine="420" w:firstLineChars="200"/>
        <w:rPr>
          <w:rFonts w:ascii="宋体" w:hAnsi="宋体" w:cs="宋体"/>
          <w:szCs w:val="21"/>
        </w:rPr>
      </w:pPr>
      <w:r>
        <w:rPr>
          <w:rFonts w:hint="eastAsia" w:ascii="宋体" w:hAnsi="宋体" w:cs="宋体"/>
          <w:szCs w:val="21"/>
        </w:rPr>
        <w:t>（3）投标文件导入；</w:t>
      </w:r>
    </w:p>
    <w:p w14:paraId="5FA86FB9">
      <w:pPr>
        <w:adjustRightInd w:val="0"/>
        <w:snapToGrid w:val="0"/>
        <w:spacing w:line="360" w:lineRule="auto"/>
        <w:ind w:firstLine="420" w:firstLineChars="200"/>
        <w:rPr>
          <w:rFonts w:ascii="宋体" w:hAnsi="宋体" w:cs="宋体"/>
          <w:szCs w:val="21"/>
        </w:rPr>
      </w:pPr>
      <w:r>
        <w:rPr>
          <w:rFonts w:hint="eastAsia" w:ascii="宋体" w:hAnsi="宋体" w:cs="宋体"/>
          <w:szCs w:val="21"/>
        </w:rPr>
        <w:t>（4）电子唱标；</w:t>
      </w:r>
    </w:p>
    <w:p w14:paraId="2A921370">
      <w:pPr>
        <w:adjustRightInd w:val="0"/>
        <w:snapToGrid w:val="0"/>
        <w:spacing w:line="360" w:lineRule="auto"/>
        <w:ind w:firstLine="420" w:firstLineChars="200"/>
        <w:rPr>
          <w:rFonts w:ascii="宋体" w:hAnsi="宋体" w:cs="宋体"/>
          <w:szCs w:val="21"/>
        </w:rPr>
      </w:pPr>
      <w:r>
        <w:rPr>
          <w:rFonts w:hint="eastAsia" w:ascii="宋体" w:hAnsi="宋体" w:cs="宋体"/>
          <w:szCs w:val="21"/>
        </w:rPr>
        <w:t>（5）异议与回复；</w:t>
      </w:r>
    </w:p>
    <w:p w14:paraId="0B413E4E">
      <w:pPr>
        <w:adjustRightInd w:val="0"/>
        <w:snapToGrid w:val="0"/>
        <w:spacing w:line="360" w:lineRule="auto"/>
        <w:ind w:firstLine="420" w:firstLineChars="200"/>
        <w:rPr>
          <w:rFonts w:ascii="宋体" w:hAnsi="宋体" w:cs="宋体"/>
          <w:szCs w:val="21"/>
        </w:rPr>
      </w:pPr>
      <w:r>
        <w:rPr>
          <w:rFonts w:hint="eastAsia" w:ascii="宋体" w:hAnsi="宋体" w:cs="宋体"/>
          <w:szCs w:val="21"/>
        </w:rPr>
        <w:t>（6）开标结束。</w:t>
      </w:r>
    </w:p>
    <w:p w14:paraId="7B611C62">
      <w:pPr>
        <w:pStyle w:val="75"/>
        <w:snapToGrid w:val="0"/>
        <w:spacing w:before="0" w:after="0" w:line="360" w:lineRule="auto"/>
        <w:ind w:firstLine="420" w:firstLineChars="200"/>
        <w:jc w:val="left"/>
        <w:outlineLvl w:val="3"/>
        <w:rPr>
          <w:rFonts w:hAnsi="宋体" w:cs="宋体"/>
          <w:b w:val="0"/>
          <w:color w:val="auto"/>
          <w:sz w:val="21"/>
          <w:szCs w:val="21"/>
        </w:rPr>
      </w:pPr>
      <w:bookmarkStart w:id="74" w:name="_Toc25313"/>
      <w:r>
        <w:rPr>
          <w:rFonts w:hint="eastAsia" w:hAnsi="宋体" w:cs="宋体"/>
          <w:b w:val="0"/>
          <w:color w:val="auto"/>
          <w:sz w:val="21"/>
          <w:szCs w:val="21"/>
        </w:rPr>
        <w:t>5.3 开标时出现下列情况的，采购人将拒绝其投标：</w:t>
      </w:r>
      <w:bookmarkEnd w:id="74"/>
    </w:p>
    <w:p w14:paraId="0896A912">
      <w:pPr>
        <w:pStyle w:val="75"/>
        <w:snapToGrid w:val="0"/>
        <w:spacing w:before="0" w:after="0" w:line="360" w:lineRule="auto"/>
        <w:ind w:firstLine="420" w:firstLineChars="200"/>
        <w:jc w:val="left"/>
        <w:outlineLvl w:val="9"/>
        <w:rPr>
          <w:rFonts w:hAnsi="宋体" w:cs="宋体"/>
          <w:b w:val="0"/>
          <w:color w:val="auto"/>
          <w:sz w:val="21"/>
          <w:szCs w:val="21"/>
        </w:rPr>
      </w:pPr>
      <w:bookmarkStart w:id="75" w:name="_Toc2791"/>
      <w:r>
        <w:rPr>
          <w:rFonts w:hint="eastAsia" w:hAnsi="宋体" w:cs="宋体"/>
          <w:b w:val="0"/>
          <w:color w:val="auto"/>
          <w:sz w:val="21"/>
          <w:szCs w:val="21"/>
        </w:rPr>
        <w:t>5.3.1经检查数字证书无效的投标文件；</w:t>
      </w:r>
      <w:bookmarkEnd w:id="75"/>
    </w:p>
    <w:p w14:paraId="7F66FE8D">
      <w:pPr>
        <w:pStyle w:val="75"/>
        <w:snapToGrid w:val="0"/>
        <w:spacing w:before="0" w:after="0" w:line="360" w:lineRule="auto"/>
        <w:ind w:firstLine="420" w:firstLineChars="200"/>
        <w:jc w:val="left"/>
        <w:outlineLvl w:val="9"/>
        <w:rPr>
          <w:rFonts w:hAnsi="宋体" w:cs="宋体"/>
          <w:b w:val="0"/>
          <w:color w:val="auto"/>
          <w:sz w:val="21"/>
          <w:szCs w:val="21"/>
        </w:rPr>
      </w:pPr>
      <w:bookmarkStart w:id="76" w:name="_Toc5572"/>
      <w:r>
        <w:rPr>
          <w:rFonts w:hint="eastAsia" w:hAnsi="宋体" w:cs="宋体"/>
          <w:b w:val="0"/>
          <w:color w:val="auto"/>
          <w:sz w:val="21"/>
          <w:szCs w:val="21"/>
        </w:rPr>
        <w:t>5.3.2加密的电子投标文件逾期上传的，或加密的电子投标文件从投标截止时间开始30分钟内未解密的，其投标文件不予接收。</w:t>
      </w:r>
      <w:bookmarkEnd w:id="76"/>
    </w:p>
    <w:p w14:paraId="2E1EF4CE">
      <w:pPr>
        <w:pStyle w:val="75"/>
        <w:snapToGrid w:val="0"/>
        <w:spacing w:before="0" w:after="0" w:line="360" w:lineRule="auto"/>
        <w:ind w:firstLine="422" w:firstLineChars="200"/>
        <w:jc w:val="left"/>
        <w:outlineLvl w:val="3"/>
        <w:rPr>
          <w:rFonts w:hAnsi="宋体" w:cs="宋体"/>
          <w:color w:val="auto"/>
          <w:sz w:val="21"/>
          <w:szCs w:val="21"/>
        </w:rPr>
      </w:pPr>
      <w:bookmarkStart w:id="77" w:name="_Toc20045"/>
      <w:r>
        <w:rPr>
          <w:rFonts w:hint="eastAsia" w:hAnsi="宋体" w:cs="宋体"/>
          <w:color w:val="auto"/>
          <w:sz w:val="21"/>
          <w:szCs w:val="21"/>
        </w:rPr>
        <w:t>5.4 开标异议</w:t>
      </w:r>
      <w:bookmarkEnd w:id="77"/>
    </w:p>
    <w:p w14:paraId="19CB17A2">
      <w:pPr>
        <w:pStyle w:val="75"/>
        <w:snapToGrid w:val="0"/>
        <w:spacing w:before="0" w:after="0" w:line="360" w:lineRule="auto"/>
        <w:ind w:firstLine="420" w:firstLineChars="200"/>
        <w:jc w:val="left"/>
        <w:outlineLvl w:val="9"/>
        <w:rPr>
          <w:rFonts w:hAnsi="宋体" w:cs="宋体"/>
          <w:b w:val="0"/>
          <w:color w:val="auto"/>
          <w:sz w:val="21"/>
          <w:szCs w:val="21"/>
        </w:rPr>
      </w:pPr>
      <w:bookmarkStart w:id="78" w:name="_Toc13185"/>
      <w:r>
        <w:rPr>
          <w:rFonts w:hint="eastAsia" w:hAnsi="宋体" w:cs="宋体"/>
          <w:b w:val="0"/>
          <w:color w:val="auto"/>
          <w:sz w:val="21"/>
          <w:szCs w:val="21"/>
        </w:rPr>
        <w:t>投标人对开标有异议的，应当在开标现场，在电子招标投标交易平台系统规定的时间内在交易系统中提出。</w:t>
      </w:r>
      <w:bookmarkEnd w:id="78"/>
      <w:r>
        <w:rPr>
          <w:rFonts w:hint="eastAsia" w:hAnsi="宋体" w:cs="宋体"/>
          <w:b w:val="0"/>
          <w:color w:val="auto"/>
          <w:sz w:val="21"/>
          <w:szCs w:val="21"/>
        </w:rPr>
        <w:t>逾期未提出的，视为无异议。</w:t>
      </w:r>
    </w:p>
    <w:p w14:paraId="41CA9D15">
      <w:pPr>
        <w:pStyle w:val="3"/>
        <w:keepNext w:val="0"/>
        <w:keepLines w:val="0"/>
        <w:numPr>
          <w:ilvl w:val="1"/>
          <w:numId w:val="0"/>
        </w:numPr>
        <w:tabs>
          <w:tab w:val="clear" w:pos="3398"/>
        </w:tabs>
        <w:adjustRightInd w:val="0"/>
        <w:snapToGrid w:val="0"/>
        <w:spacing w:before="0" w:after="0"/>
        <w:jc w:val="both"/>
        <w:rPr>
          <w:rFonts w:ascii="宋体" w:hAnsi="宋体" w:cs="宋体"/>
          <w:sz w:val="21"/>
          <w:szCs w:val="21"/>
        </w:rPr>
      </w:pPr>
      <w:bookmarkStart w:id="79" w:name="_Toc4190"/>
      <w:bookmarkStart w:id="80" w:name="_Toc3576"/>
      <w:r>
        <w:rPr>
          <w:rFonts w:hint="eastAsia" w:ascii="宋体" w:hAnsi="宋体" w:cs="宋体"/>
          <w:sz w:val="21"/>
          <w:szCs w:val="21"/>
        </w:rPr>
        <w:t>6.资格审查及评标</w:t>
      </w:r>
      <w:bookmarkEnd w:id="73"/>
      <w:bookmarkEnd w:id="79"/>
      <w:bookmarkEnd w:id="80"/>
    </w:p>
    <w:p w14:paraId="725B226C">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6.1 资格审查</w:t>
      </w:r>
    </w:p>
    <w:p w14:paraId="227EFB8F">
      <w:pPr>
        <w:pStyle w:val="75"/>
        <w:snapToGrid w:val="0"/>
        <w:spacing w:before="0" w:after="0" w:line="360" w:lineRule="auto"/>
        <w:ind w:firstLine="420" w:firstLineChars="200"/>
        <w:jc w:val="left"/>
        <w:outlineLvl w:val="9"/>
        <w:rPr>
          <w:rFonts w:hAnsi="宋体" w:cs="宋体"/>
          <w:b w:val="0"/>
          <w:color w:val="auto"/>
          <w:sz w:val="21"/>
          <w:szCs w:val="21"/>
        </w:rPr>
      </w:pPr>
      <w:bookmarkStart w:id="81" w:name="_Toc9537"/>
      <w:r>
        <w:rPr>
          <w:rFonts w:hint="eastAsia" w:hAnsi="宋体" w:cs="宋体"/>
          <w:b w:val="0"/>
          <w:color w:val="auto"/>
          <w:sz w:val="21"/>
          <w:szCs w:val="21"/>
        </w:rPr>
        <w:t>6.1.1开标结束后，采购人或采购代理机构将依法对投标人的资格进行审查。</w:t>
      </w:r>
      <w:bookmarkEnd w:id="81"/>
      <w:r>
        <w:rPr>
          <w:rFonts w:hint="eastAsia" w:hAnsi="宋体" w:cs="宋体"/>
          <w:b w:val="0"/>
          <w:color w:val="auto"/>
          <w:sz w:val="21"/>
          <w:szCs w:val="21"/>
        </w:rPr>
        <w:t xml:space="preserve"> </w:t>
      </w:r>
    </w:p>
    <w:p w14:paraId="0DEF9812">
      <w:pPr>
        <w:pStyle w:val="75"/>
        <w:snapToGrid w:val="0"/>
        <w:spacing w:before="0" w:after="0" w:line="360" w:lineRule="auto"/>
        <w:ind w:firstLine="420" w:firstLineChars="200"/>
        <w:jc w:val="left"/>
        <w:outlineLvl w:val="9"/>
        <w:rPr>
          <w:rFonts w:hAnsi="宋体" w:cs="宋体"/>
          <w:b w:val="0"/>
          <w:color w:val="auto"/>
          <w:sz w:val="21"/>
          <w:szCs w:val="21"/>
        </w:rPr>
      </w:pPr>
      <w:bookmarkStart w:id="82" w:name="_Toc14183"/>
      <w:r>
        <w:rPr>
          <w:rFonts w:hint="eastAsia" w:hAnsi="宋体" w:cs="宋体"/>
          <w:b w:val="0"/>
          <w:color w:val="auto"/>
          <w:sz w:val="21"/>
          <w:szCs w:val="21"/>
        </w:rPr>
        <w:t>6.1.2资格审查内容及标准</w:t>
      </w:r>
      <w:bookmarkEnd w:id="82"/>
    </w:p>
    <w:p w14:paraId="0F002E38">
      <w:pPr>
        <w:pStyle w:val="75"/>
        <w:snapToGrid w:val="0"/>
        <w:spacing w:before="0" w:after="0" w:line="360" w:lineRule="auto"/>
        <w:ind w:firstLine="420" w:firstLineChars="200"/>
        <w:jc w:val="left"/>
        <w:outlineLvl w:val="9"/>
        <w:rPr>
          <w:rFonts w:hAnsi="宋体" w:cs="宋体"/>
          <w:b w:val="0"/>
          <w:color w:val="auto"/>
          <w:sz w:val="21"/>
          <w:szCs w:val="21"/>
        </w:rPr>
      </w:pPr>
      <w:bookmarkStart w:id="83" w:name="_Toc21698"/>
      <w:r>
        <w:rPr>
          <w:rFonts w:hint="eastAsia" w:hAnsi="宋体" w:cs="宋体"/>
          <w:b w:val="0"/>
          <w:color w:val="auto"/>
          <w:sz w:val="21"/>
          <w:szCs w:val="21"/>
        </w:rPr>
        <w:t>（1）资格性检查指依据法律法规和招标文件的规定，对投标文件中的资格证明材料进行审查，以确定投标人是否具备投标资格。</w:t>
      </w:r>
      <w:bookmarkEnd w:id="83"/>
      <w:r>
        <w:rPr>
          <w:rFonts w:hint="eastAsia" w:hAnsi="宋体" w:cs="宋体"/>
          <w:b w:val="0"/>
          <w:color w:val="auto"/>
          <w:sz w:val="21"/>
          <w:szCs w:val="21"/>
        </w:rPr>
        <w:t xml:space="preserve"> </w:t>
      </w:r>
    </w:p>
    <w:p w14:paraId="5A8EE2A1">
      <w:pPr>
        <w:pStyle w:val="75"/>
        <w:snapToGrid w:val="0"/>
        <w:spacing w:before="0" w:after="0" w:line="360" w:lineRule="auto"/>
        <w:ind w:firstLine="420" w:firstLineChars="200"/>
        <w:jc w:val="left"/>
        <w:outlineLvl w:val="9"/>
        <w:rPr>
          <w:rFonts w:hAnsi="宋体" w:cs="宋体"/>
          <w:b w:val="0"/>
          <w:color w:val="auto"/>
          <w:sz w:val="21"/>
          <w:szCs w:val="21"/>
        </w:rPr>
      </w:pPr>
      <w:bookmarkStart w:id="84" w:name="_Toc26039"/>
      <w:r>
        <w:rPr>
          <w:rFonts w:hint="eastAsia" w:hAnsi="宋体" w:cs="宋体"/>
          <w:b w:val="0"/>
          <w:color w:val="auto"/>
          <w:sz w:val="21"/>
          <w:szCs w:val="21"/>
        </w:rPr>
        <w:t>（2）投标人须在投标文件中按招标文件要求提供资格证明材料，投标人若没有提供资格证明材料或资格证明材料不全的，其投标将被拒绝，不能进入评标。</w:t>
      </w:r>
      <w:bookmarkEnd w:id="84"/>
      <w:r>
        <w:rPr>
          <w:rFonts w:hint="eastAsia" w:hAnsi="宋体" w:cs="宋体"/>
          <w:b w:val="0"/>
          <w:color w:val="auto"/>
          <w:sz w:val="21"/>
          <w:szCs w:val="21"/>
        </w:rPr>
        <w:t xml:space="preserve"> </w:t>
      </w:r>
    </w:p>
    <w:p w14:paraId="1EB005AE">
      <w:pPr>
        <w:pStyle w:val="75"/>
        <w:snapToGrid w:val="0"/>
        <w:spacing w:before="0" w:after="0" w:line="360" w:lineRule="auto"/>
        <w:ind w:firstLine="420" w:firstLineChars="200"/>
        <w:jc w:val="left"/>
        <w:outlineLvl w:val="9"/>
        <w:rPr>
          <w:rFonts w:hAnsi="宋体" w:cs="宋体"/>
          <w:b w:val="0"/>
          <w:color w:val="auto"/>
          <w:sz w:val="21"/>
          <w:szCs w:val="21"/>
        </w:rPr>
      </w:pPr>
      <w:bookmarkStart w:id="85" w:name="_Toc2682"/>
      <w:r>
        <w:rPr>
          <w:rFonts w:hint="eastAsia" w:hAnsi="宋体" w:cs="宋体"/>
          <w:b w:val="0"/>
          <w:color w:val="auto"/>
          <w:sz w:val="21"/>
          <w:szCs w:val="21"/>
        </w:rPr>
        <w:t>6.1.3采购人或采购代理机构对投标人的资格进行审查后，将资格审查结果提交评标委员会，未通过资格审查的投标人，不进入评标程序。合格投标人不足3家的，不得评标。</w:t>
      </w:r>
      <w:bookmarkEnd w:id="85"/>
    </w:p>
    <w:p w14:paraId="79AA37EA">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6.2 评标委员会</w:t>
      </w:r>
    </w:p>
    <w:p w14:paraId="0ED64CF6">
      <w:pPr>
        <w:adjustRightInd w:val="0"/>
        <w:snapToGrid w:val="0"/>
        <w:spacing w:line="360" w:lineRule="auto"/>
        <w:ind w:firstLine="420" w:firstLineChars="200"/>
        <w:rPr>
          <w:rFonts w:ascii="宋体" w:hAnsi="宋体" w:cs="宋体"/>
          <w:szCs w:val="21"/>
        </w:rPr>
      </w:pPr>
      <w:r>
        <w:rPr>
          <w:rFonts w:hint="eastAsia" w:ascii="宋体" w:hAnsi="宋体" w:cs="宋体"/>
          <w:szCs w:val="21"/>
        </w:rPr>
        <w:t>6.2.1 评标由采购人依法组建的评标委员会负责。评标委员会由采购人代表，以及有关方面的专家组成。评标委员会成员人数以及技术、经济等方面专家的确定方式见投标人须知前附表。</w:t>
      </w:r>
    </w:p>
    <w:p w14:paraId="7C391E48">
      <w:pPr>
        <w:adjustRightInd w:val="0"/>
        <w:snapToGrid w:val="0"/>
        <w:spacing w:line="360" w:lineRule="auto"/>
        <w:ind w:firstLine="420" w:firstLineChars="200"/>
        <w:rPr>
          <w:rFonts w:ascii="宋体" w:hAnsi="宋体" w:cs="宋体"/>
          <w:szCs w:val="21"/>
        </w:rPr>
      </w:pPr>
      <w:r>
        <w:rPr>
          <w:rFonts w:hint="eastAsia" w:ascii="宋体" w:hAnsi="宋体" w:cs="宋体"/>
          <w:szCs w:val="21"/>
        </w:rPr>
        <w:t>6.2.2 评标委员会成员有下列情形之一的，应当回避：</w:t>
      </w:r>
    </w:p>
    <w:p w14:paraId="22E6563E">
      <w:pPr>
        <w:adjustRightInd w:val="0"/>
        <w:snapToGrid w:val="0"/>
        <w:spacing w:line="360" w:lineRule="auto"/>
        <w:ind w:firstLine="420" w:firstLineChars="200"/>
        <w:rPr>
          <w:rFonts w:ascii="宋体" w:hAnsi="宋体" w:cs="宋体"/>
          <w:szCs w:val="21"/>
        </w:rPr>
      </w:pPr>
      <w:r>
        <w:rPr>
          <w:rFonts w:hint="eastAsia" w:ascii="宋体" w:hAnsi="宋体" w:cs="宋体"/>
          <w:szCs w:val="21"/>
        </w:rPr>
        <w:t>（1）参加政府采购活动前三年内，与供应商存在劳动关系，或者担任过供应商的董事、监事，或者是供应商的控股股东或实际控制人；</w:t>
      </w:r>
    </w:p>
    <w:p w14:paraId="13BB5242">
      <w:pPr>
        <w:adjustRightInd w:val="0"/>
        <w:snapToGrid w:val="0"/>
        <w:spacing w:line="360" w:lineRule="auto"/>
        <w:ind w:firstLine="420" w:firstLineChars="200"/>
        <w:rPr>
          <w:rFonts w:ascii="宋体" w:hAnsi="宋体" w:cs="宋体"/>
          <w:szCs w:val="21"/>
        </w:rPr>
      </w:pPr>
      <w:r>
        <w:rPr>
          <w:rFonts w:hint="eastAsia" w:ascii="宋体" w:hAnsi="宋体" w:cs="宋体"/>
          <w:szCs w:val="21"/>
        </w:rPr>
        <w:t>（2）与供应商的法定代表人或者负责人有夫妻、直系血亲、三代以内旁系血亲或者近姻亲关系；</w:t>
      </w:r>
    </w:p>
    <w:p w14:paraId="28377E4B">
      <w:pPr>
        <w:adjustRightInd w:val="0"/>
        <w:snapToGrid w:val="0"/>
        <w:spacing w:line="360" w:lineRule="auto"/>
        <w:ind w:firstLine="420" w:firstLineChars="200"/>
        <w:rPr>
          <w:rFonts w:ascii="宋体" w:hAnsi="宋体" w:cs="宋体"/>
          <w:szCs w:val="21"/>
        </w:rPr>
      </w:pPr>
      <w:r>
        <w:rPr>
          <w:rFonts w:hint="eastAsia" w:ascii="宋体" w:hAnsi="宋体" w:cs="宋体"/>
          <w:szCs w:val="21"/>
        </w:rPr>
        <w:t>（3）与供应商有其他可能影响政府采购活动公平、公正进行的关系。</w:t>
      </w:r>
    </w:p>
    <w:p w14:paraId="5C4DE968">
      <w:pPr>
        <w:adjustRightInd w:val="0"/>
        <w:snapToGrid w:val="0"/>
        <w:spacing w:line="360" w:lineRule="auto"/>
        <w:ind w:firstLine="420" w:firstLineChars="200"/>
        <w:rPr>
          <w:rFonts w:ascii="宋体" w:hAnsi="宋体" w:cs="宋体"/>
          <w:szCs w:val="21"/>
        </w:rPr>
      </w:pPr>
      <w:bookmarkStart w:id="86" w:name="_Toc7484"/>
      <w:r>
        <w:rPr>
          <w:rFonts w:hint="eastAsia" w:ascii="宋体" w:hAnsi="宋体" w:cs="宋体"/>
          <w:szCs w:val="21"/>
        </w:rPr>
        <w:t xml:space="preserve">6.2.3 </w:t>
      </w:r>
      <w:bookmarkEnd w:id="86"/>
      <w:r>
        <w:rPr>
          <w:rFonts w:hint="eastAsia" w:ascii="宋体" w:hAnsi="宋体" w:cs="宋体"/>
          <w:szCs w:val="21"/>
        </w:rPr>
        <w:t>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4F216929">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6.3 评标原则</w:t>
      </w:r>
    </w:p>
    <w:p w14:paraId="6BFC6F2A">
      <w:pPr>
        <w:adjustRightInd w:val="0"/>
        <w:snapToGrid w:val="0"/>
        <w:spacing w:line="360" w:lineRule="auto"/>
        <w:ind w:firstLine="420" w:firstLineChars="200"/>
        <w:rPr>
          <w:rFonts w:ascii="宋体" w:hAnsi="宋体" w:cs="宋体"/>
          <w:szCs w:val="21"/>
        </w:rPr>
      </w:pPr>
      <w:r>
        <w:rPr>
          <w:rFonts w:hint="eastAsia" w:ascii="宋体" w:hAnsi="宋体" w:cs="宋体"/>
          <w:szCs w:val="21"/>
        </w:rPr>
        <w:t>评标活动遵循客观、公正、审慎的原则。</w:t>
      </w:r>
    </w:p>
    <w:p w14:paraId="6F2C4440">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6.4 评标</w:t>
      </w:r>
    </w:p>
    <w:p w14:paraId="150B3686">
      <w:pPr>
        <w:adjustRightInd w:val="0"/>
        <w:snapToGrid w:val="0"/>
        <w:spacing w:line="360" w:lineRule="auto"/>
        <w:ind w:firstLine="420" w:firstLineChars="200"/>
        <w:rPr>
          <w:rFonts w:ascii="宋体" w:hAnsi="宋体" w:cs="宋体"/>
          <w:szCs w:val="21"/>
        </w:rPr>
      </w:pPr>
      <w:r>
        <w:rPr>
          <w:rFonts w:hint="eastAsia" w:ascii="宋体" w:hAnsi="宋体" w:cs="宋体"/>
          <w:szCs w:val="21"/>
        </w:rPr>
        <w:t>6.4.1 评标委员会应当按照招标文件中规定的符合性审查标准，对符合资格的供应商的投标文件进行符合性审查，以确定其是否满足招标文件的实质性要求。</w:t>
      </w:r>
    </w:p>
    <w:p w14:paraId="65952C07">
      <w:pPr>
        <w:adjustRightInd w:val="0"/>
        <w:snapToGrid w:val="0"/>
        <w:spacing w:line="360" w:lineRule="auto"/>
        <w:ind w:firstLine="420" w:firstLineChars="200"/>
        <w:rPr>
          <w:rFonts w:ascii="宋体" w:hAnsi="宋体" w:cs="宋体"/>
          <w:szCs w:val="21"/>
        </w:rPr>
      </w:pPr>
      <w:r>
        <w:rPr>
          <w:rFonts w:hint="eastAsia" w:ascii="宋体" w:hAnsi="宋体" w:cs="宋体"/>
          <w:szCs w:val="21"/>
        </w:rPr>
        <w:t>6.4.2 评标委员会应当按照招标文件中规定的评标方法和标准，对符合性审查合格的投标文件进行商务和技术评估，综合比较与评价。招标文件没有规定的评标方法、评审因素和标准，不作为评标依据。</w:t>
      </w:r>
    </w:p>
    <w:p w14:paraId="56BD3CB7">
      <w:pPr>
        <w:wordWrap w:val="0"/>
        <w:adjustRightInd w:val="0"/>
        <w:snapToGrid w:val="0"/>
        <w:spacing w:line="360" w:lineRule="auto"/>
        <w:ind w:firstLine="420" w:firstLineChars="200"/>
        <w:outlineLvl w:val="3"/>
        <w:rPr>
          <w:rFonts w:ascii="宋体" w:hAnsi="宋体" w:cs="宋体"/>
          <w:szCs w:val="21"/>
        </w:rPr>
      </w:pPr>
      <w:r>
        <w:rPr>
          <w:rFonts w:hint="eastAsia" w:ascii="宋体" w:hAnsi="宋体" w:cs="宋体"/>
          <w:kern w:val="0"/>
          <w:szCs w:val="21"/>
        </w:rPr>
        <w:t>6.4.3公开招标数额标准以上的采购项目，投标截止后供应商不足3家或者通过资格审查或符合性审查的供应商不足3家的，除采购任务取消情形外，按照以下方式处理：</w:t>
      </w:r>
    </w:p>
    <w:p w14:paraId="23C2D437">
      <w:pPr>
        <w:wordWrap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（1）招标文件存在不合理条款或者招标程序不符合规定的，采购人、采购代理机构改正后依法重新招标；</w:t>
      </w:r>
    </w:p>
    <w:p w14:paraId="49CA5A4E">
      <w:pPr>
        <w:wordWrap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（2）招标文件没有不合理条款、招标程序符合规定，需要采用其他采购方式采购的，采购人应当依法报财政部门批准。</w:t>
      </w:r>
    </w:p>
    <w:p w14:paraId="4A3A9D45">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6.5 废标</w:t>
      </w:r>
    </w:p>
    <w:p w14:paraId="00D1A9DD">
      <w:pPr>
        <w:adjustRightInd w:val="0"/>
        <w:snapToGrid w:val="0"/>
        <w:spacing w:line="360" w:lineRule="auto"/>
        <w:ind w:firstLine="420" w:firstLineChars="200"/>
        <w:rPr>
          <w:rFonts w:ascii="宋体" w:hAnsi="宋体" w:cs="宋体"/>
          <w:szCs w:val="21"/>
        </w:rPr>
      </w:pPr>
      <w:r>
        <w:rPr>
          <w:rFonts w:hint="eastAsia" w:ascii="宋体" w:hAnsi="宋体" w:cs="宋体"/>
          <w:szCs w:val="21"/>
        </w:rPr>
        <w:t>6.5.1 招标采购中，出现下列情形之一的，应予废标：</w:t>
      </w:r>
    </w:p>
    <w:p w14:paraId="2D230923">
      <w:pPr>
        <w:adjustRightInd w:val="0"/>
        <w:snapToGrid w:val="0"/>
        <w:spacing w:line="360" w:lineRule="auto"/>
        <w:ind w:firstLine="420" w:firstLineChars="200"/>
        <w:rPr>
          <w:rFonts w:ascii="宋体" w:hAnsi="宋体" w:cs="宋体"/>
          <w:szCs w:val="21"/>
        </w:rPr>
      </w:pPr>
      <w:r>
        <w:rPr>
          <w:rFonts w:hint="eastAsia" w:ascii="宋体" w:hAnsi="宋体" w:cs="宋体"/>
          <w:szCs w:val="21"/>
        </w:rPr>
        <w:t>（一）符合专业条件的供应商或者对招标文件作实质响应的供应商不足三家的；</w:t>
      </w:r>
    </w:p>
    <w:p w14:paraId="50F5E277">
      <w:pPr>
        <w:adjustRightInd w:val="0"/>
        <w:snapToGrid w:val="0"/>
        <w:spacing w:line="360" w:lineRule="auto"/>
        <w:ind w:firstLine="420" w:firstLineChars="200"/>
        <w:rPr>
          <w:rFonts w:ascii="宋体" w:hAnsi="宋体" w:cs="宋体"/>
          <w:szCs w:val="21"/>
        </w:rPr>
      </w:pPr>
      <w:r>
        <w:rPr>
          <w:rFonts w:hint="eastAsia" w:ascii="宋体" w:hAnsi="宋体" w:cs="宋体"/>
          <w:szCs w:val="21"/>
        </w:rPr>
        <w:t>（二）出现影响采购公正的违法、违规行为的；</w:t>
      </w:r>
    </w:p>
    <w:p w14:paraId="6B9249B7">
      <w:pPr>
        <w:adjustRightInd w:val="0"/>
        <w:snapToGrid w:val="0"/>
        <w:spacing w:line="360" w:lineRule="auto"/>
        <w:ind w:firstLine="420" w:firstLineChars="200"/>
        <w:rPr>
          <w:rFonts w:ascii="宋体" w:hAnsi="宋体" w:cs="宋体"/>
          <w:szCs w:val="21"/>
        </w:rPr>
      </w:pPr>
      <w:r>
        <w:rPr>
          <w:rFonts w:hint="eastAsia" w:ascii="宋体" w:hAnsi="宋体" w:cs="宋体"/>
          <w:szCs w:val="21"/>
        </w:rPr>
        <w:t>（三）供应商的报价均超过了采购预算，采购人不能支付的；</w:t>
      </w:r>
    </w:p>
    <w:p w14:paraId="6A236813">
      <w:pPr>
        <w:adjustRightInd w:val="0"/>
        <w:snapToGrid w:val="0"/>
        <w:spacing w:line="360" w:lineRule="auto"/>
        <w:ind w:firstLine="420" w:firstLineChars="200"/>
        <w:rPr>
          <w:rFonts w:ascii="宋体" w:hAnsi="宋体" w:cs="宋体"/>
          <w:szCs w:val="21"/>
        </w:rPr>
      </w:pPr>
      <w:r>
        <w:rPr>
          <w:rFonts w:hint="eastAsia" w:ascii="宋体" w:hAnsi="宋体" w:cs="宋体"/>
          <w:szCs w:val="21"/>
        </w:rPr>
        <w:t>（四）因重大变故，采购任务取消的。</w:t>
      </w:r>
    </w:p>
    <w:p w14:paraId="6B36A170">
      <w:pPr>
        <w:adjustRightInd w:val="0"/>
        <w:snapToGrid w:val="0"/>
        <w:spacing w:line="360" w:lineRule="auto"/>
        <w:ind w:firstLine="420" w:firstLineChars="200"/>
        <w:rPr>
          <w:rFonts w:ascii="宋体" w:hAnsi="宋体" w:cs="宋体"/>
          <w:szCs w:val="21"/>
        </w:rPr>
      </w:pPr>
      <w:r>
        <w:rPr>
          <w:rFonts w:hint="eastAsia" w:ascii="宋体" w:hAnsi="宋体" w:cs="宋体"/>
          <w:szCs w:val="21"/>
        </w:rPr>
        <w:t>6.5.2 废标后，采购人应当将废标理由通知所有供应商。</w:t>
      </w:r>
    </w:p>
    <w:p w14:paraId="56E6E75E">
      <w:pPr>
        <w:pStyle w:val="3"/>
        <w:keepNext w:val="0"/>
        <w:keepLines w:val="0"/>
        <w:numPr>
          <w:ilvl w:val="1"/>
          <w:numId w:val="0"/>
        </w:numPr>
        <w:tabs>
          <w:tab w:val="clear" w:pos="3398"/>
        </w:tabs>
        <w:adjustRightInd w:val="0"/>
        <w:snapToGrid w:val="0"/>
        <w:spacing w:before="0" w:after="0"/>
        <w:jc w:val="both"/>
        <w:rPr>
          <w:rFonts w:ascii="宋体" w:hAnsi="宋体" w:cs="宋体"/>
          <w:sz w:val="21"/>
          <w:szCs w:val="21"/>
        </w:rPr>
      </w:pPr>
      <w:bookmarkStart w:id="87" w:name="_Toc2516"/>
      <w:bookmarkStart w:id="88" w:name="_Toc20073"/>
      <w:bookmarkStart w:id="89" w:name="_Toc26450"/>
      <w:r>
        <w:rPr>
          <w:rFonts w:hint="eastAsia" w:ascii="宋体" w:hAnsi="宋体" w:cs="宋体"/>
          <w:sz w:val="21"/>
          <w:szCs w:val="21"/>
        </w:rPr>
        <w:t>7.合同授予</w:t>
      </w:r>
      <w:bookmarkEnd w:id="87"/>
      <w:bookmarkEnd w:id="88"/>
      <w:bookmarkEnd w:id="89"/>
    </w:p>
    <w:p w14:paraId="26F60760">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7.1 定标</w:t>
      </w:r>
    </w:p>
    <w:p w14:paraId="34EDF12E">
      <w:pPr>
        <w:adjustRightInd w:val="0"/>
        <w:snapToGrid w:val="0"/>
        <w:spacing w:line="360" w:lineRule="auto"/>
        <w:ind w:firstLine="420" w:firstLineChars="200"/>
        <w:rPr>
          <w:rFonts w:ascii="宋体" w:hAnsi="宋体" w:cs="宋体"/>
          <w:szCs w:val="21"/>
        </w:rPr>
      </w:pPr>
      <w:r>
        <w:rPr>
          <w:rFonts w:hint="eastAsia" w:ascii="宋体" w:hAnsi="宋体" w:cs="宋体"/>
          <w:szCs w:val="21"/>
        </w:rPr>
        <w:t>除供应商须知前附表规定评标委员会直接确定中标人外，采购代理机构应当自评审结束之日起 2 个工作日内将评审报告送交采购人，</w:t>
      </w:r>
      <w:r>
        <w:rPr>
          <w:rFonts w:hint="eastAsia" w:ascii="宋体" w:hAnsi="宋体" w:cs="宋体"/>
          <w:kern w:val="0"/>
          <w:szCs w:val="21"/>
        </w:rPr>
        <w:t>采购人应当自收到评审报告之日起5个工作日内在评审报告推荐的中标候选人中按顺序确定中标人。若排名第一的中标候选人放弃中标（成交），或者因不可抗力不能履行合同，或者被查实存在影响中标结果的违法行为等情形、不符合成交条件的，采购人可以按照评标委员会提出的中标候选人名单排序依次确定其他中标候选人为中标人，也可以重新采购</w:t>
      </w:r>
      <w:r>
        <w:rPr>
          <w:rFonts w:hint="eastAsia" w:ascii="宋体" w:hAnsi="宋体" w:cs="宋体"/>
          <w:szCs w:val="21"/>
        </w:rPr>
        <w:t>。</w:t>
      </w:r>
    </w:p>
    <w:p w14:paraId="1B932D3A">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7.2 中标结果公告</w:t>
      </w:r>
    </w:p>
    <w:p w14:paraId="45BA0733">
      <w:pPr>
        <w:adjustRightInd w:val="0"/>
        <w:snapToGrid w:val="0"/>
        <w:spacing w:line="360" w:lineRule="auto"/>
        <w:ind w:firstLine="420" w:firstLineChars="200"/>
        <w:rPr>
          <w:rFonts w:ascii="宋体" w:hAnsi="宋体" w:cs="宋体"/>
          <w:szCs w:val="21"/>
        </w:rPr>
      </w:pPr>
      <w:r>
        <w:rPr>
          <w:rFonts w:hint="eastAsia" w:ascii="宋体" w:hAnsi="宋体" w:cs="宋体"/>
          <w:szCs w:val="21"/>
        </w:rPr>
        <w:t>采购人或者采购代理机构应当自中标人确定之日起</w:t>
      </w:r>
      <w:r>
        <w:rPr>
          <w:rFonts w:hint="eastAsia" w:ascii="宋体" w:hAnsi="宋体" w:cs="宋体"/>
          <w:szCs w:val="21"/>
          <w:lang w:val="en-US" w:eastAsia="zh-CN"/>
        </w:rPr>
        <w:t>2</w:t>
      </w:r>
      <w:r>
        <w:rPr>
          <w:rFonts w:hint="eastAsia" w:ascii="宋体" w:hAnsi="宋体" w:cs="宋体"/>
          <w:szCs w:val="21"/>
        </w:rPr>
        <w:t>个工作日内，发出中标、</w:t>
      </w:r>
      <w:r>
        <w:rPr>
          <w:rFonts w:hint="eastAsia" w:ascii="宋体" w:hAnsi="宋体" w:cs="宋体"/>
          <w:szCs w:val="21"/>
          <w:lang w:eastAsia="zh-CN"/>
        </w:rPr>
        <w:t>中标通知书</w:t>
      </w:r>
      <w:r>
        <w:rPr>
          <w:rFonts w:hint="eastAsia" w:ascii="宋体" w:hAnsi="宋体" w:cs="宋体"/>
          <w:szCs w:val="21"/>
        </w:rPr>
        <w:t>，并在省级以上人民政府财政部门指定的媒体上公告中标结果。中标结果公告媒介及期限见供应商须知前附表。</w:t>
      </w:r>
    </w:p>
    <w:p w14:paraId="1126389D">
      <w:pPr>
        <w:adjustRightInd w:val="0"/>
        <w:snapToGrid w:val="0"/>
        <w:spacing w:line="360" w:lineRule="auto"/>
        <w:ind w:firstLine="420" w:firstLineChars="200"/>
        <w:rPr>
          <w:rFonts w:ascii="宋体" w:hAnsi="宋体" w:cs="宋体"/>
          <w:szCs w:val="21"/>
        </w:rPr>
      </w:pPr>
      <w:bookmarkStart w:id="90" w:name="_Toc7170"/>
      <w:r>
        <w:rPr>
          <w:rFonts w:hint="eastAsia" w:ascii="宋体" w:hAnsi="宋体" w:cs="宋体"/>
          <w:szCs w:val="21"/>
        </w:rPr>
        <w:t>7.2.2 投标人对中标结果有疑义的，在中标公告期限届满之日起七个工作日内，按本须知前附表10.3款接收质疑函的方式以书面形式一次性提出对中标结果的质疑。但须对投诉和质疑内容的真实性承担责任。</w:t>
      </w:r>
      <w:bookmarkEnd w:id="90"/>
    </w:p>
    <w:p w14:paraId="125D5F11">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7.3 中标通知</w:t>
      </w:r>
    </w:p>
    <w:p w14:paraId="24B1CBC3">
      <w:pPr>
        <w:pStyle w:val="75"/>
        <w:snapToGrid w:val="0"/>
        <w:spacing w:before="0" w:after="0" w:line="360" w:lineRule="auto"/>
        <w:ind w:firstLine="420" w:firstLineChars="200"/>
        <w:jc w:val="left"/>
        <w:outlineLvl w:val="9"/>
        <w:rPr>
          <w:rFonts w:hAnsi="宋体" w:cs="宋体"/>
          <w:b w:val="0"/>
          <w:color w:val="auto"/>
          <w:sz w:val="21"/>
          <w:szCs w:val="21"/>
        </w:rPr>
      </w:pPr>
      <w:bookmarkStart w:id="91" w:name="_Toc18115"/>
      <w:r>
        <w:rPr>
          <w:rFonts w:hint="eastAsia" w:hAnsi="宋体" w:cs="宋体"/>
          <w:b w:val="0"/>
          <w:color w:val="auto"/>
          <w:sz w:val="21"/>
          <w:szCs w:val="21"/>
        </w:rPr>
        <w:t>7.3.1在公告中标结果的同时，采购人以书面形式向中标人发出中标通知书，同时将中标结果通知未中标的投标人。对未通过资格审查的投标人，应当告知其未通过的原因；采用综合评分法评审的，还应当告知未中标人本人的评审得分与排序。</w:t>
      </w:r>
      <w:bookmarkEnd w:id="91"/>
    </w:p>
    <w:p w14:paraId="6070BA9F">
      <w:pPr>
        <w:pStyle w:val="75"/>
        <w:snapToGrid w:val="0"/>
        <w:spacing w:before="0" w:after="0" w:line="360" w:lineRule="auto"/>
        <w:ind w:firstLine="420" w:firstLineChars="200"/>
        <w:jc w:val="left"/>
        <w:outlineLvl w:val="9"/>
        <w:rPr>
          <w:rFonts w:hAnsi="宋体" w:cs="宋体"/>
          <w:b w:val="0"/>
          <w:color w:val="auto"/>
          <w:sz w:val="21"/>
          <w:szCs w:val="21"/>
        </w:rPr>
      </w:pPr>
      <w:bookmarkStart w:id="92" w:name="_Toc10020"/>
      <w:r>
        <w:rPr>
          <w:rFonts w:hint="eastAsia" w:hAnsi="宋体" w:cs="宋体"/>
          <w:b w:val="0"/>
          <w:color w:val="auto"/>
          <w:sz w:val="21"/>
          <w:szCs w:val="21"/>
        </w:rPr>
        <w:t>7.3.2中标通知书发出后，采购人不得违法改变中标结果，中标人无正当理由不得放弃中标。</w:t>
      </w:r>
      <w:bookmarkEnd w:id="92"/>
    </w:p>
    <w:p w14:paraId="4DCC5AFD">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7.4 履约保证金</w:t>
      </w:r>
    </w:p>
    <w:p w14:paraId="1BFF61C7">
      <w:pPr>
        <w:adjustRightInd w:val="0"/>
        <w:snapToGrid w:val="0"/>
        <w:spacing w:line="360" w:lineRule="auto"/>
        <w:ind w:firstLine="420" w:firstLineChars="200"/>
        <w:rPr>
          <w:rFonts w:ascii="宋体" w:hAnsi="宋体" w:cs="宋体"/>
          <w:szCs w:val="21"/>
        </w:rPr>
      </w:pPr>
      <w:r>
        <w:rPr>
          <w:rFonts w:hint="eastAsia" w:ascii="宋体" w:hAnsi="宋体" w:cs="宋体"/>
          <w:szCs w:val="21"/>
        </w:rPr>
        <w:t>7.4.1 中标人应按供应商须知前附表规定的形式、金额或者事先经过采购人书面认可的履约保证金格式向采购人提交履约保证金。联合体中标的，其履约保证金以联合体各方或者联合体中牵头人的名义提交。</w:t>
      </w:r>
    </w:p>
    <w:p w14:paraId="1CEF3BC9">
      <w:pPr>
        <w:adjustRightInd w:val="0"/>
        <w:snapToGrid w:val="0"/>
        <w:spacing w:line="360" w:lineRule="auto"/>
        <w:ind w:firstLine="420" w:firstLineChars="200"/>
        <w:rPr>
          <w:rFonts w:ascii="宋体" w:hAnsi="宋体" w:cs="宋体"/>
          <w:szCs w:val="21"/>
        </w:rPr>
      </w:pPr>
      <w:r>
        <w:rPr>
          <w:rFonts w:hint="eastAsia" w:ascii="宋体" w:hAnsi="宋体" w:cs="宋体"/>
          <w:szCs w:val="21"/>
        </w:rPr>
        <w:t>7.4.2 中标人不能按本章第 7.4.1 项要求提交履约保证金的，视为放弃中标，给采购人造成的损失中标人还应当予以赔偿。</w:t>
      </w:r>
    </w:p>
    <w:p w14:paraId="60B64188">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7.5 签订合同</w:t>
      </w:r>
    </w:p>
    <w:p w14:paraId="42855BCB">
      <w:pPr>
        <w:adjustRightInd w:val="0"/>
        <w:snapToGrid w:val="0"/>
        <w:spacing w:line="360" w:lineRule="auto"/>
        <w:ind w:firstLine="420" w:firstLineChars="200"/>
        <w:rPr>
          <w:rFonts w:ascii="宋体" w:hAnsi="宋体" w:cs="宋体"/>
          <w:szCs w:val="21"/>
        </w:rPr>
      </w:pPr>
      <w:r>
        <w:rPr>
          <w:rFonts w:hint="eastAsia" w:ascii="宋体" w:hAnsi="宋体" w:cs="宋体"/>
          <w:szCs w:val="21"/>
        </w:rPr>
        <w:t>7.5.1 采购人应当自中标通知书发出后</w:t>
      </w:r>
      <w:r>
        <w:rPr>
          <w:rFonts w:hint="eastAsia" w:ascii="宋体" w:hAnsi="宋体" w:cs="宋体"/>
          <w:szCs w:val="21"/>
          <w:lang w:val="en-US" w:eastAsia="zh-CN"/>
        </w:rPr>
        <w:t>15</w:t>
      </w:r>
      <w:r>
        <w:rPr>
          <w:rFonts w:hint="eastAsia" w:ascii="宋体" w:hAnsi="宋体" w:cs="宋体"/>
          <w:szCs w:val="21"/>
        </w:rPr>
        <w:t>日内，按照招标文件和中标人投标文件的规定，与中标人签订书面合同。所签订的合同不得对招标文件确定的事项和中标人投标文件作实质性修改。签订合同后，采购人和中标人不得订立背离合同实质性内容的其他协议。招标文件、中标人的投标文件和澄清文件等，均应作为签约的合同文本的基础。</w:t>
      </w:r>
    </w:p>
    <w:p w14:paraId="3A236CBC">
      <w:pPr>
        <w:adjustRightInd w:val="0"/>
        <w:snapToGrid w:val="0"/>
        <w:spacing w:line="360" w:lineRule="auto"/>
        <w:ind w:firstLine="420" w:firstLineChars="200"/>
        <w:rPr>
          <w:rFonts w:ascii="宋体" w:hAnsi="宋体" w:cs="宋体"/>
          <w:szCs w:val="21"/>
        </w:rPr>
      </w:pPr>
      <w:r>
        <w:rPr>
          <w:rFonts w:hint="eastAsia" w:ascii="宋体" w:hAnsi="宋体" w:cs="宋体"/>
          <w:szCs w:val="21"/>
        </w:rPr>
        <w:t>7.5.2 中标人在签订合同时向采购人提出附加条件，采购人有权取消其中标资格；给采购人造成的损失中标人还应当予以赔偿。</w:t>
      </w:r>
    </w:p>
    <w:p w14:paraId="5E13DFC6">
      <w:pPr>
        <w:adjustRightInd w:val="0"/>
        <w:snapToGrid w:val="0"/>
        <w:spacing w:line="360" w:lineRule="auto"/>
        <w:ind w:firstLine="420" w:firstLineChars="200"/>
        <w:rPr>
          <w:rFonts w:ascii="宋体" w:hAnsi="宋体" w:cs="宋体"/>
          <w:szCs w:val="21"/>
        </w:rPr>
      </w:pPr>
      <w:r>
        <w:rPr>
          <w:rFonts w:hint="eastAsia" w:ascii="宋体" w:hAnsi="宋体" w:cs="宋体"/>
          <w:szCs w:val="21"/>
        </w:rPr>
        <w:t>7.5.3 中标人拒绝与采购人签订合同的，采购人可以按照评审报告推荐的中标或者成交候选人名单排序，确定下一候选人为中标人，也可以重新开展政府采购活动；给采购人造成的损失的，应予以赔偿，同时依法承担相应法律责任。</w:t>
      </w:r>
    </w:p>
    <w:p w14:paraId="536E2F15">
      <w:pPr>
        <w:adjustRightInd w:val="0"/>
        <w:snapToGrid w:val="0"/>
        <w:spacing w:line="360" w:lineRule="auto"/>
        <w:ind w:firstLine="420" w:firstLineChars="200"/>
        <w:rPr>
          <w:rFonts w:ascii="宋体" w:hAnsi="宋体" w:cs="宋体"/>
          <w:szCs w:val="21"/>
        </w:rPr>
      </w:pPr>
      <w:r>
        <w:rPr>
          <w:rFonts w:hint="eastAsia" w:ascii="宋体" w:hAnsi="宋体" w:cs="宋体"/>
          <w:szCs w:val="21"/>
        </w:rPr>
        <w:t>7.5.4劳务派遣管理费支付方式详见供应商须知前附表。</w:t>
      </w:r>
    </w:p>
    <w:p w14:paraId="09EB9076">
      <w:pPr>
        <w:pStyle w:val="3"/>
        <w:keepNext w:val="0"/>
        <w:keepLines w:val="0"/>
        <w:numPr>
          <w:ilvl w:val="1"/>
          <w:numId w:val="0"/>
        </w:numPr>
        <w:adjustRightInd w:val="0"/>
        <w:snapToGrid w:val="0"/>
        <w:spacing w:before="0" w:after="0"/>
        <w:jc w:val="left"/>
        <w:rPr>
          <w:rFonts w:ascii="宋体" w:hAnsi="宋体" w:cs="宋体"/>
          <w:sz w:val="21"/>
          <w:szCs w:val="21"/>
        </w:rPr>
      </w:pPr>
      <w:bookmarkStart w:id="93" w:name="_Toc27298"/>
      <w:bookmarkStart w:id="94" w:name="_Toc25993"/>
      <w:bookmarkStart w:id="95" w:name="_Toc14529"/>
      <w:bookmarkStart w:id="96" w:name="_Toc20977"/>
      <w:bookmarkStart w:id="97" w:name="_Toc24693"/>
      <w:bookmarkStart w:id="98" w:name="_Toc32636"/>
      <w:bookmarkStart w:id="99" w:name="_Toc1275"/>
      <w:bookmarkStart w:id="100" w:name="_Toc14066"/>
      <w:r>
        <w:rPr>
          <w:rFonts w:hint="eastAsia" w:ascii="宋体" w:hAnsi="宋体" w:cs="宋体"/>
          <w:sz w:val="21"/>
          <w:szCs w:val="21"/>
        </w:rPr>
        <w:t>8.</w:t>
      </w:r>
      <w:bookmarkEnd w:id="93"/>
      <w:r>
        <w:rPr>
          <w:rFonts w:hint="eastAsia" w:ascii="宋体" w:hAnsi="宋体" w:cs="宋体"/>
          <w:sz w:val="21"/>
          <w:szCs w:val="21"/>
        </w:rPr>
        <w:t>废标和重新招标</w:t>
      </w:r>
      <w:bookmarkEnd w:id="94"/>
      <w:bookmarkEnd w:id="95"/>
      <w:bookmarkEnd w:id="96"/>
      <w:bookmarkEnd w:id="97"/>
      <w:bookmarkEnd w:id="98"/>
    </w:p>
    <w:p w14:paraId="43F785B1">
      <w:pPr>
        <w:adjustRightInd w:val="0"/>
        <w:snapToGrid w:val="0"/>
        <w:spacing w:line="360" w:lineRule="auto"/>
        <w:ind w:firstLine="422" w:firstLineChars="200"/>
        <w:outlineLvl w:val="3"/>
        <w:rPr>
          <w:rFonts w:ascii="宋体" w:hAnsi="宋体" w:cs="宋体"/>
          <w:b/>
          <w:szCs w:val="21"/>
        </w:rPr>
      </w:pPr>
      <w:bookmarkStart w:id="101" w:name="_Toc24071"/>
      <w:bookmarkStart w:id="102" w:name="_Toc281837634"/>
      <w:bookmarkStart w:id="103" w:name="_Toc323212715"/>
      <w:r>
        <w:rPr>
          <w:rFonts w:hint="eastAsia" w:ascii="宋体" w:hAnsi="宋体" w:cs="宋体"/>
          <w:b/>
          <w:szCs w:val="21"/>
        </w:rPr>
        <w:t xml:space="preserve">8.1  </w:t>
      </w:r>
      <w:bookmarkEnd w:id="101"/>
      <w:bookmarkEnd w:id="102"/>
      <w:bookmarkEnd w:id="103"/>
      <w:bookmarkStart w:id="104" w:name="_Toc214173889"/>
      <w:bookmarkStart w:id="105" w:name="_Toc345178455"/>
      <w:bookmarkStart w:id="106" w:name="_Toc323212717"/>
      <w:bookmarkStart w:id="107" w:name="_Toc281837636"/>
      <w:r>
        <w:rPr>
          <w:rFonts w:hint="eastAsia" w:ascii="宋体" w:hAnsi="宋体" w:cs="宋体"/>
          <w:b/>
          <w:szCs w:val="21"/>
        </w:rPr>
        <w:t xml:space="preserve">有出现下列情形之一，将导致项目废标： </w:t>
      </w:r>
    </w:p>
    <w:p w14:paraId="3F48DF2B">
      <w:pPr>
        <w:adjustRightInd w:val="0"/>
        <w:snapToGrid w:val="0"/>
        <w:spacing w:line="360" w:lineRule="auto"/>
        <w:ind w:firstLine="420" w:firstLineChars="200"/>
        <w:rPr>
          <w:rFonts w:ascii="宋体" w:hAnsi="宋体" w:cs="宋体"/>
          <w:szCs w:val="21"/>
        </w:rPr>
      </w:pPr>
      <w:r>
        <w:rPr>
          <w:rFonts w:hint="eastAsia" w:ascii="宋体" w:hAnsi="宋体" w:cs="宋体"/>
          <w:szCs w:val="21"/>
        </w:rPr>
        <w:t>（1）符合专业条件的投标人或者对招标文件做实质性响应的投标人不足三家；</w:t>
      </w:r>
    </w:p>
    <w:p w14:paraId="502411A2">
      <w:pPr>
        <w:adjustRightInd w:val="0"/>
        <w:snapToGrid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189D32A5">
      <w:pPr>
        <w:adjustRightInd w:val="0"/>
        <w:snapToGrid w:val="0"/>
        <w:spacing w:line="360" w:lineRule="auto"/>
        <w:ind w:firstLine="420" w:firstLineChars="200"/>
        <w:rPr>
          <w:rFonts w:ascii="宋体" w:hAnsi="宋体" w:cs="宋体"/>
          <w:szCs w:val="21"/>
        </w:rPr>
      </w:pPr>
      <w:r>
        <w:rPr>
          <w:rFonts w:hint="eastAsia" w:ascii="宋体" w:hAnsi="宋体" w:cs="宋体"/>
          <w:szCs w:val="21"/>
        </w:rPr>
        <w:t>（3）投标人的报价均超过了采购预算，采购人不能支付的；</w:t>
      </w:r>
    </w:p>
    <w:p w14:paraId="6178CD1C">
      <w:pPr>
        <w:adjustRightInd w:val="0"/>
        <w:snapToGrid w:val="0"/>
        <w:spacing w:line="360" w:lineRule="auto"/>
        <w:ind w:firstLine="420" w:firstLineChars="200"/>
        <w:rPr>
          <w:rFonts w:ascii="宋体" w:hAnsi="宋体" w:cs="宋体"/>
          <w:szCs w:val="21"/>
        </w:rPr>
      </w:pPr>
      <w:r>
        <w:rPr>
          <w:rFonts w:hint="eastAsia" w:ascii="宋体" w:hAnsi="宋体" w:cs="宋体"/>
          <w:szCs w:val="21"/>
        </w:rPr>
        <w:t>（4）因重大变故，采购任务取消的。</w:t>
      </w:r>
    </w:p>
    <w:p w14:paraId="3146F10D">
      <w:pPr>
        <w:adjustRightInd w:val="0"/>
        <w:snapToGrid w:val="0"/>
        <w:spacing w:line="360" w:lineRule="auto"/>
        <w:ind w:firstLine="422" w:firstLineChars="200"/>
        <w:outlineLvl w:val="3"/>
        <w:rPr>
          <w:rFonts w:ascii="宋体" w:hAnsi="宋体" w:cs="宋体"/>
          <w:b/>
          <w:szCs w:val="21"/>
        </w:rPr>
      </w:pPr>
      <w:r>
        <w:rPr>
          <w:rFonts w:hint="eastAsia" w:ascii="宋体" w:hAnsi="宋体" w:cs="宋体"/>
          <w:b/>
          <w:szCs w:val="21"/>
        </w:rPr>
        <w:t xml:space="preserve">8.2  重新招标 </w:t>
      </w:r>
    </w:p>
    <w:p w14:paraId="2E7FD7C7">
      <w:pPr>
        <w:adjustRightInd w:val="0"/>
        <w:snapToGrid w:val="0"/>
        <w:spacing w:line="360" w:lineRule="auto"/>
        <w:ind w:firstLine="420" w:firstLineChars="200"/>
        <w:rPr>
          <w:rFonts w:ascii="宋体" w:hAnsi="宋体" w:cs="宋体"/>
          <w:szCs w:val="21"/>
        </w:rPr>
      </w:pPr>
      <w:r>
        <w:rPr>
          <w:rFonts w:hint="eastAsia" w:ascii="宋体" w:hAnsi="宋体" w:cs="宋体"/>
          <w:szCs w:val="21"/>
        </w:rPr>
        <w:t>废标后，除采购任务取消情形外，应当重新组织招标。需要采取其他方式采购的，应当在采购活动开始前获得设区的市、自治州以上人民政府采购监督管理部门或者政府有关部门批准。</w:t>
      </w:r>
    </w:p>
    <w:p w14:paraId="4E856740">
      <w:pPr>
        <w:pStyle w:val="3"/>
        <w:keepNext w:val="0"/>
        <w:keepLines w:val="0"/>
        <w:numPr>
          <w:ilvl w:val="1"/>
          <w:numId w:val="0"/>
        </w:numPr>
        <w:adjustRightInd w:val="0"/>
        <w:snapToGrid w:val="0"/>
        <w:spacing w:before="0" w:after="0"/>
        <w:jc w:val="left"/>
        <w:rPr>
          <w:rFonts w:ascii="宋体" w:hAnsi="宋体" w:cs="宋体"/>
          <w:sz w:val="21"/>
          <w:szCs w:val="21"/>
        </w:rPr>
      </w:pPr>
      <w:bookmarkStart w:id="108" w:name="_Toc3899"/>
      <w:bookmarkStart w:id="109" w:name="_Toc25623"/>
      <w:bookmarkStart w:id="110" w:name="_Toc25934"/>
      <w:bookmarkStart w:id="111" w:name="_Toc32675"/>
      <w:bookmarkStart w:id="112" w:name="_Toc24859"/>
      <w:bookmarkStart w:id="113" w:name="_Toc6477"/>
      <w:r>
        <w:rPr>
          <w:rFonts w:hint="eastAsia" w:ascii="宋体" w:hAnsi="宋体" w:cs="宋体"/>
          <w:sz w:val="21"/>
          <w:szCs w:val="21"/>
        </w:rPr>
        <w:t>9.纪律和监督</w:t>
      </w:r>
      <w:bookmarkEnd w:id="104"/>
      <w:bookmarkEnd w:id="105"/>
      <w:bookmarkEnd w:id="106"/>
      <w:bookmarkEnd w:id="107"/>
      <w:bookmarkEnd w:id="108"/>
      <w:bookmarkEnd w:id="109"/>
      <w:bookmarkEnd w:id="110"/>
      <w:bookmarkEnd w:id="111"/>
      <w:bookmarkEnd w:id="112"/>
      <w:bookmarkEnd w:id="113"/>
    </w:p>
    <w:p w14:paraId="74958505">
      <w:pPr>
        <w:adjustRightInd w:val="0"/>
        <w:snapToGrid w:val="0"/>
        <w:spacing w:line="360" w:lineRule="auto"/>
        <w:ind w:firstLine="422" w:firstLineChars="200"/>
        <w:outlineLvl w:val="3"/>
        <w:rPr>
          <w:rFonts w:ascii="宋体" w:hAnsi="宋体" w:cs="宋体"/>
          <w:b/>
          <w:szCs w:val="21"/>
        </w:rPr>
      </w:pPr>
      <w:bookmarkStart w:id="114" w:name="_Toc281837637"/>
      <w:bookmarkStart w:id="115" w:name="_Toc323212718"/>
      <w:bookmarkStart w:id="116" w:name="_Toc11700"/>
      <w:r>
        <w:rPr>
          <w:rFonts w:hint="eastAsia" w:ascii="宋体" w:hAnsi="宋体" w:cs="宋体"/>
          <w:b/>
          <w:szCs w:val="21"/>
        </w:rPr>
        <w:t>9.1 对采购人的纪律要求</w:t>
      </w:r>
      <w:bookmarkEnd w:id="114"/>
      <w:bookmarkEnd w:id="115"/>
      <w:bookmarkEnd w:id="116"/>
    </w:p>
    <w:p w14:paraId="37CEB6C5">
      <w:pPr>
        <w:adjustRightInd w:val="0"/>
        <w:snapToGrid w:val="0"/>
        <w:spacing w:line="360" w:lineRule="auto"/>
        <w:ind w:firstLine="420" w:firstLineChars="200"/>
        <w:rPr>
          <w:rFonts w:ascii="宋体" w:hAnsi="宋体" w:cs="宋体"/>
          <w:szCs w:val="21"/>
        </w:rPr>
      </w:pPr>
      <w:bookmarkStart w:id="117" w:name="_Toc256694841"/>
      <w:bookmarkStart w:id="118" w:name="_Toc256690965"/>
      <w:bookmarkStart w:id="119" w:name="_Toc323212719"/>
      <w:bookmarkStart w:id="120" w:name="_Toc281837638"/>
      <w:r>
        <w:rPr>
          <w:rFonts w:hint="eastAsia" w:ascii="宋体" w:hAnsi="宋体" w:cs="宋体"/>
          <w:szCs w:val="21"/>
        </w:rPr>
        <w:t>采购人不得泄漏招标投标活动中应当保密的情况和资料，不得与投标人串通损害国家利益、社会公共利益或者他人合法权益。</w:t>
      </w:r>
      <w:bookmarkEnd w:id="117"/>
      <w:bookmarkEnd w:id="118"/>
    </w:p>
    <w:p w14:paraId="1EEF8588">
      <w:pPr>
        <w:adjustRightInd w:val="0"/>
        <w:snapToGrid w:val="0"/>
        <w:spacing w:line="360" w:lineRule="auto"/>
        <w:ind w:firstLine="420" w:firstLineChars="200"/>
        <w:rPr>
          <w:rFonts w:ascii="宋体" w:hAnsi="宋体" w:cs="宋体"/>
          <w:szCs w:val="21"/>
        </w:rPr>
      </w:pPr>
      <w:r>
        <w:rPr>
          <w:rFonts w:hint="eastAsia" w:ascii="宋体" w:hAnsi="宋体" w:cs="宋体"/>
          <w:szCs w:val="21"/>
        </w:rPr>
        <w:t>有下列情形之一的，属于采购人与投标人串通投标：</w:t>
      </w:r>
    </w:p>
    <w:p w14:paraId="7521B26E">
      <w:pPr>
        <w:adjustRightInd w:val="0"/>
        <w:snapToGrid w:val="0"/>
        <w:spacing w:line="360" w:lineRule="auto"/>
        <w:ind w:firstLine="420" w:firstLineChars="200"/>
        <w:rPr>
          <w:rFonts w:ascii="宋体" w:hAnsi="宋体" w:cs="宋体"/>
          <w:szCs w:val="21"/>
        </w:rPr>
      </w:pPr>
      <w:r>
        <w:rPr>
          <w:rFonts w:hint="eastAsia" w:ascii="宋体" w:hAnsi="宋体" w:cs="宋体"/>
          <w:szCs w:val="21"/>
        </w:rPr>
        <w:t>（一）采购人在开标前开启投标文件并将有关信息泄露给其他投标人；</w:t>
      </w:r>
    </w:p>
    <w:p w14:paraId="6B4B3209">
      <w:pPr>
        <w:adjustRightInd w:val="0"/>
        <w:snapToGrid w:val="0"/>
        <w:spacing w:line="360" w:lineRule="auto"/>
        <w:ind w:firstLine="420" w:firstLineChars="200"/>
        <w:rPr>
          <w:rFonts w:ascii="宋体" w:hAnsi="宋体" w:cs="宋体"/>
          <w:szCs w:val="21"/>
        </w:rPr>
      </w:pPr>
      <w:r>
        <w:rPr>
          <w:rFonts w:hint="eastAsia" w:ascii="宋体" w:hAnsi="宋体" w:cs="宋体"/>
          <w:szCs w:val="21"/>
        </w:rPr>
        <w:t>（二）采购人直接或者间接向投标人泄露标底、评标委员会成员等信息；</w:t>
      </w:r>
    </w:p>
    <w:p w14:paraId="1F5F2B21">
      <w:pPr>
        <w:adjustRightInd w:val="0"/>
        <w:snapToGrid w:val="0"/>
        <w:spacing w:line="360" w:lineRule="auto"/>
        <w:ind w:firstLine="420" w:firstLineChars="200"/>
        <w:rPr>
          <w:rFonts w:ascii="宋体" w:hAnsi="宋体" w:cs="宋体"/>
          <w:szCs w:val="21"/>
        </w:rPr>
      </w:pPr>
      <w:r>
        <w:rPr>
          <w:rFonts w:hint="eastAsia" w:ascii="宋体" w:hAnsi="宋体" w:cs="宋体"/>
          <w:szCs w:val="21"/>
        </w:rPr>
        <w:t>（三）采购人明示或者暗示投标人压低或者抬高投标报价；</w:t>
      </w:r>
    </w:p>
    <w:p w14:paraId="6DD9C0AB">
      <w:pPr>
        <w:adjustRightInd w:val="0"/>
        <w:snapToGrid w:val="0"/>
        <w:spacing w:line="360" w:lineRule="auto"/>
        <w:ind w:firstLine="420" w:firstLineChars="200"/>
        <w:rPr>
          <w:rFonts w:ascii="宋体" w:hAnsi="宋体" w:cs="宋体"/>
          <w:szCs w:val="21"/>
        </w:rPr>
      </w:pPr>
      <w:r>
        <w:rPr>
          <w:rFonts w:hint="eastAsia" w:ascii="宋体" w:hAnsi="宋体" w:cs="宋体"/>
          <w:szCs w:val="21"/>
        </w:rPr>
        <w:t>（四）采购人授意投标人撤换、修改投标文件；</w:t>
      </w:r>
    </w:p>
    <w:p w14:paraId="6C2C8B0B">
      <w:pPr>
        <w:adjustRightInd w:val="0"/>
        <w:snapToGrid w:val="0"/>
        <w:spacing w:line="360" w:lineRule="auto"/>
        <w:ind w:firstLine="420" w:firstLineChars="200"/>
        <w:rPr>
          <w:rFonts w:ascii="宋体" w:hAnsi="宋体" w:cs="宋体"/>
          <w:szCs w:val="21"/>
        </w:rPr>
      </w:pPr>
      <w:r>
        <w:rPr>
          <w:rFonts w:hint="eastAsia" w:ascii="宋体" w:hAnsi="宋体" w:cs="宋体"/>
          <w:szCs w:val="21"/>
        </w:rPr>
        <w:t>（五）采购人明示或者暗示投标人为特定投标人中标提供方便；</w:t>
      </w:r>
    </w:p>
    <w:p w14:paraId="4F00E281">
      <w:pPr>
        <w:adjustRightInd w:val="0"/>
        <w:snapToGrid w:val="0"/>
        <w:spacing w:line="360" w:lineRule="auto"/>
        <w:ind w:firstLine="420" w:firstLineChars="200"/>
        <w:rPr>
          <w:rFonts w:ascii="宋体" w:hAnsi="宋体" w:cs="宋体"/>
          <w:szCs w:val="21"/>
        </w:rPr>
      </w:pPr>
      <w:r>
        <w:rPr>
          <w:rFonts w:hint="eastAsia" w:ascii="宋体" w:hAnsi="宋体" w:cs="宋体"/>
          <w:szCs w:val="21"/>
        </w:rPr>
        <w:t>（六）采购人与投标人为谋求特定投标人中标而采取的其他串通行为。</w:t>
      </w:r>
    </w:p>
    <w:p w14:paraId="264708EB">
      <w:pPr>
        <w:adjustRightInd w:val="0"/>
        <w:snapToGrid w:val="0"/>
        <w:spacing w:line="360" w:lineRule="auto"/>
        <w:ind w:firstLine="422" w:firstLineChars="200"/>
        <w:outlineLvl w:val="3"/>
        <w:rPr>
          <w:rFonts w:ascii="宋体" w:hAnsi="宋体" w:cs="宋体"/>
          <w:b/>
          <w:szCs w:val="21"/>
        </w:rPr>
      </w:pPr>
      <w:bookmarkStart w:id="121" w:name="_Toc13183"/>
      <w:r>
        <w:rPr>
          <w:rFonts w:hint="eastAsia" w:ascii="宋体" w:hAnsi="宋体" w:cs="宋体"/>
          <w:b/>
          <w:szCs w:val="21"/>
        </w:rPr>
        <w:t>9.2 对投标人的纪律要求</w:t>
      </w:r>
      <w:bookmarkEnd w:id="119"/>
      <w:bookmarkEnd w:id="120"/>
      <w:bookmarkEnd w:id="121"/>
    </w:p>
    <w:p w14:paraId="4E939274">
      <w:pPr>
        <w:adjustRightInd w:val="0"/>
        <w:snapToGrid w:val="0"/>
        <w:spacing w:line="360" w:lineRule="auto"/>
        <w:ind w:firstLine="420" w:firstLineChars="200"/>
        <w:rPr>
          <w:rFonts w:ascii="宋体" w:hAnsi="宋体" w:cs="宋体"/>
          <w:szCs w:val="21"/>
        </w:rPr>
      </w:pPr>
      <w:bookmarkStart w:id="122" w:name="_Toc256690973"/>
      <w:bookmarkStart w:id="123" w:name="_Toc256694849"/>
      <w:bookmarkStart w:id="124" w:name="_Toc281837639"/>
      <w:bookmarkStart w:id="125" w:name="_Toc323212720"/>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bookmarkEnd w:id="122"/>
      <w:bookmarkEnd w:id="123"/>
    </w:p>
    <w:p w14:paraId="6CB8DEF6">
      <w:pPr>
        <w:adjustRightInd w:val="0"/>
        <w:snapToGrid w:val="0"/>
        <w:spacing w:line="360" w:lineRule="auto"/>
        <w:ind w:firstLine="420" w:firstLineChars="200"/>
        <w:rPr>
          <w:rFonts w:ascii="宋体" w:hAnsi="宋体" w:cs="宋体"/>
          <w:szCs w:val="21"/>
        </w:rPr>
      </w:pPr>
      <w:r>
        <w:rPr>
          <w:rFonts w:hint="eastAsia" w:ascii="宋体" w:hAnsi="宋体" w:cs="宋体"/>
          <w:szCs w:val="21"/>
        </w:rPr>
        <w:t>9.2.1 有下列情形之一的，属于投标人相互串通投标：</w:t>
      </w:r>
    </w:p>
    <w:p w14:paraId="5A9AD8D6">
      <w:pPr>
        <w:adjustRightInd w:val="0"/>
        <w:snapToGrid w:val="0"/>
        <w:spacing w:line="360" w:lineRule="auto"/>
        <w:ind w:firstLine="420" w:firstLineChars="200"/>
        <w:rPr>
          <w:rFonts w:ascii="宋体" w:hAnsi="宋体" w:cs="宋体"/>
          <w:szCs w:val="21"/>
        </w:rPr>
      </w:pPr>
      <w:r>
        <w:rPr>
          <w:rFonts w:hint="eastAsia" w:ascii="宋体" w:hAnsi="宋体" w:cs="宋体"/>
          <w:szCs w:val="21"/>
        </w:rPr>
        <w:t>（1）投标人之间协商投标报价等投标文件的实质性内容；</w:t>
      </w:r>
    </w:p>
    <w:p w14:paraId="00C32CD0">
      <w:pPr>
        <w:adjustRightInd w:val="0"/>
        <w:snapToGrid w:val="0"/>
        <w:spacing w:line="360" w:lineRule="auto"/>
        <w:ind w:firstLine="420" w:firstLineChars="200"/>
        <w:rPr>
          <w:rFonts w:ascii="宋体" w:hAnsi="宋体" w:cs="宋体"/>
          <w:szCs w:val="21"/>
        </w:rPr>
      </w:pPr>
      <w:r>
        <w:rPr>
          <w:rFonts w:hint="eastAsia" w:ascii="宋体" w:hAnsi="宋体" w:cs="宋体"/>
          <w:szCs w:val="21"/>
        </w:rPr>
        <w:t>（2）投标人之间约定中标人；</w:t>
      </w:r>
    </w:p>
    <w:p w14:paraId="4DFB42BB">
      <w:pPr>
        <w:adjustRightInd w:val="0"/>
        <w:snapToGrid w:val="0"/>
        <w:spacing w:line="360" w:lineRule="auto"/>
        <w:ind w:firstLine="420" w:firstLineChars="200"/>
        <w:rPr>
          <w:rFonts w:ascii="宋体" w:hAnsi="宋体" w:cs="宋体"/>
          <w:szCs w:val="21"/>
        </w:rPr>
      </w:pPr>
      <w:r>
        <w:rPr>
          <w:rFonts w:hint="eastAsia" w:ascii="宋体" w:hAnsi="宋体" w:cs="宋体"/>
          <w:szCs w:val="21"/>
        </w:rPr>
        <w:t>（3）投标人之间约定部分投标人放弃投标或者中标；</w:t>
      </w:r>
    </w:p>
    <w:p w14:paraId="55932610">
      <w:pPr>
        <w:adjustRightInd w:val="0"/>
        <w:snapToGrid w:val="0"/>
        <w:spacing w:line="360" w:lineRule="auto"/>
        <w:ind w:firstLine="420" w:firstLineChars="200"/>
        <w:rPr>
          <w:rFonts w:ascii="宋体" w:hAnsi="宋体" w:cs="宋体"/>
          <w:szCs w:val="21"/>
        </w:rPr>
      </w:pPr>
      <w:r>
        <w:rPr>
          <w:rFonts w:hint="eastAsia" w:ascii="宋体" w:hAnsi="宋体" w:cs="宋体"/>
          <w:szCs w:val="21"/>
        </w:rPr>
        <w:t>（4）属于同一集团、协会、商会等组织成员的投标人按照该组织要求协同投标；</w:t>
      </w:r>
    </w:p>
    <w:p w14:paraId="5B00D4BF">
      <w:pPr>
        <w:adjustRightInd w:val="0"/>
        <w:snapToGrid w:val="0"/>
        <w:spacing w:line="360" w:lineRule="auto"/>
        <w:ind w:firstLine="420" w:firstLineChars="200"/>
        <w:rPr>
          <w:rFonts w:ascii="宋体" w:hAnsi="宋体" w:cs="宋体"/>
          <w:szCs w:val="21"/>
        </w:rPr>
      </w:pPr>
      <w:r>
        <w:rPr>
          <w:rFonts w:hint="eastAsia" w:ascii="宋体" w:hAnsi="宋体" w:cs="宋体"/>
          <w:szCs w:val="21"/>
        </w:rPr>
        <w:t>（5）投标人之间为谋取中标或者排斥特定投标人而采取的其他联合行动。</w:t>
      </w:r>
    </w:p>
    <w:p w14:paraId="5859736D">
      <w:pPr>
        <w:adjustRightInd w:val="0"/>
        <w:snapToGrid w:val="0"/>
        <w:spacing w:line="360" w:lineRule="auto"/>
        <w:ind w:firstLine="420" w:firstLineChars="200"/>
        <w:rPr>
          <w:rFonts w:ascii="宋体" w:hAnsi="宋体" w:cs="宋体"/>
          <w:szCs w:val="21"/>
        </w:rPr>
      </w:pPr>
      <w:r>
        <w:rPr>
          <w:rFonts w:hint="eastAsia" w:ascii="宋体" w:hAnsi="宋体" w:cs="宋体"/>
          <w:szCs w:val="21"/>
        </w:rPr>
        <w:t>9.2.2 有下列情形之一的，视为投标人相互串通投标：</w:t>
      </w:r>
    </w:p>
    <w:p w14:paraId="041960E8">
      <w:pPr>
        <w:adjustRightInd w:val="0"/>
        <w:snapToGrid w:val="0"/>
        <w:spacing w:line="360" w:lineRule="auto"/>
        <w:ind w:firstLine="420" w:firstLineChars="200"/>
        <w:rPr>
          <w:rFonts w:ascii="宋体" w:hAnsi="宋体" w:cs="宋体"/>
          <w:szCs w:val="21"/>
        </w:rPr>
      </w:pPr>
      <w:r>
        <w:rPr>
          <w:rFonts w:hint="eastAsia" w:ascii="宋体" w:hAnsi="宋体" w:cs="宋体"/>
          <w:szCs w:val="21"/>
        </w:rPr>
        <w:t>（一）不同供应商的电子投标（响应）文件上传计算机的网卡MAC地址、CPU序列号和硬盘序列号等硬件信息相同的；</w:t>
      </w:r>
    </w:p>
    <w:p w14:paraId="3A5E7503">
      <w:pPr>
        <w:adjustRightInd w:val="0"/>
        <w:snapToGrid w:val="0"/>
        <w:spacing w:line="360" w:lineRule="auto"/>
        <w:ind w:firstLine="420" w:firstLineChars="200"/>
        <w:rPr>
          <w:rFonts w:ascii="宋体" w:hAnsi="宋体" w:cs="宋体"/>
          <w:szCs w:val="21"/>
        </w:rPr>
      </w:pPr>
      <w:r>
        <w:rPr>
          <w:rFonts w:hint="eastAsia" w:ascii="宋体" w:hAnsi="宋体" w:cs="宋体"/>
          <w:szCs w:val="21"/>
        </w:rPr>
        <w:t>（二）不同供应商的投标（响应）文件由同一电子设备编制、打印加密或者上传；</w:t>
      </w:r>
    </w:p>
    <w:p w14:paraId="6D97B733">
      <w:pPr>
        <w:adjustRightInd w:val="0"/>
        <w:snapToGrid w:val="0"/>
        <w:spacing w:line="360" w:lineRule="auto"/>
        <w:ind w:firstLine="420" w:firstLineChars="200"/>
        <w:rPr>
          <w:rFonts w:ascii="宋体" w:hAnsi="宋体" w:cs="宋体"/>
          <w:szCs w:val="21"/>
        </w:rPr>
      </w:pPr>
      <w:r>
        <w:rPr>
          <w:rFonts w:hint="eastAsia" w:ascii="宋体" w:hAnsi="宋体" w:cs="宋体"/>
          <w:szCs w:val="21"/>
        </w:rPr>
        <w:t>（三）不同供应商的投标（响应）文件由同一电子设备打印、复印；</w:t>
      </w:r>
    </w:p>
    <w:p w14:paraId="40FE6BFB">
      <w:pPr>
        <w:adjustRightInd w:val="0"/>
        <w:snapToGrid w:val="0"/>
        <w:spacing w:line="360" w:lineRule="auto"/>
        <w:ind w:firstLine="420" w:firstLineChars="200"/>
        <w:rPr>
          <w:rFonts w:ascii="宋体" w:hAnsi="宋体" w:cs="宋体"/>
          <w:szCs w:val="21"/>
        </w:rPr>
      </w:pPr>
      <w:r>
        <w:rPr>
          <w:rFonts w:hint="eastAsia" w:ascii="宋体" w:hAnsi="宋体" w:cs="宋体"/>
          <w:szCs w:val="21"/>
        </w:rPr>
        <w:t>（四）不同供应商的投标（响应）文件由同一人送达或者分发，或者不同供应商联系人为同一人或不同联系人的联系电话一致的；</w:t>
      </w:r>
    </w:p>
    <w:p w14:paraId="4B5F1D57">
      <w:pPr>
        <w:adjustRightInd w:val="0"/>
        <w:snapToGrid w:val="0"/>
        <w:spacing w:line="360" w:lineRule="auto"/>
        <w:ind w:firstLine="420" w:firstLineChars="200"/>
        <w:rPr>
          <w:rFonts w:ascii="宋体" w:hAnsi="宋体" w:cs="宋体"/>
          <w:szCs w:val="21"/>
        </w:rPr>
      </w:pPr>
      <w:r>
        <w:rPr>
          <w:rFonts w:hint="eastAsia" w:ascii="宋体" w:hAnsi="宋体" w:cs="宋体"/>
          <w:szCs w:val="21"/>
        </w:rPr>
        <w:t>（五）不同供应商的投标（响应）文件的内容存在两处以上细节错误一致；</w:t>
      </w:r>
    </w:p>
    <w:p w14:paraId="269D1E23">
      <w:pPr>
        <w:adjustRightInd w:val="0"/>
        <w:snapToGrid w:val="0"/>
        <w:spacing w:line="360" w:lineRule="auto"/>
        <w:ind w:firstLine="420" w:firstLineChars="200"/>
        <w:rPr>
          <w:rFonts w:ascii="宋体" w:hAnsi="宋体" w:cs="宋体"/>
          <w:szCs w:val="21"/>
        </w:rPr>
      </w:pPr>
      <w:r>
        <w:rPr>
          <w:rFonts w:hint="eastAsia" w:ascii="宋体" w:hAnsi="宋体" w:cs="宋体"/>
          <w:szCs w:val="21"/>
        </w:rPr>
        <w:t>（六）不同供应商的法定代表人、委托代理人、项目经理、项目负责人等由同一个单位缴纳社会保险或者领取报酬的；</w:t>
      </w:r>
    </w:p>
    <w:p w14:paraId="51FA9526">
      <w:pPr>
        <w:adjustRightInd w:val="0"/>
        <w:snapToGrid w:val="0"/>
        <w:spacing w:line="360" w:lineRule="auto"/>
        <w:ind w:firstLine="420" w:firstLineChars="200"/>
        <w:rPr>
          <w:rFonts w:ascii="宋体" w:hAnsi="宋体" w:cs="宋体"/>
          <w:szCs w:val="21"/>
        </w:rPr>
      </w:pPr>
      <w:r>
        <w:rPr>
          <w:rFonts w:hint="eastAsia" w:ascii="宋体" w:hAnsi="宋体" w:cs="宋体"/>
          <w:szCs w:val="21"/>
        </w:rPr>
        <w:t>（七）不同供应商投标（响应）文件中法定代表人或者负责人签字出自同一人之手；</w:t>
      </w:r>
    </w:p>
    <w:p w14:paraId="3153907B">
      <w:pPr>
        <w:adjustRightInd w:val="0"/>
        <w:snapToGrid w:val="0"/>
        <w:spacing w:line="360" w:lineRule="auto"/>
        <w:ind w:firstLine="420" w:firstLineChars="200"/>
        <w:rPr>
          <w:rFonts w:ascii="宋体" w:hAnsi="宋体" w:cs="宋体"/>
          <w:szCs w:val="21"/>
        </w:rPr>
      </w:pPr>
      <w:r>
        <w:rPr>
          <w:rFonts w:hint="eastAsia" w:ascii="宋体" w:hAnsi="宋体" w:cs="宋体"/>
          <w:szCs w:val="21"/>
        </w:rPr>
        <w:t>（八）其它涉嫌串通的情形。</w:t>
      </w:r>
    </w:p>
    <w:p w14:paraId="609D5B5E">
      <w:pPr>
        <w:adjustRightInd w:val="0"/>
        <w:snapToGrid w:val="0"/>
        <w:spacing w:line="360" w:lineRule="auto"/>
        <w:ind w:firstLine="420" w:firstLineChars="200"/>
        <w:rPr>
          <w:rFonts w:ascii="宋体" w:hAnsi="宋体" w:cs="宋体"/>
          <w:szCs w:val="21"/>
        </w:rPr>
      </w:pPr>
      <w:r>
        <w:rPr>
          <w:rFonts w:hint="eastAsia" w:ascii="宋体" w:hAnsi="宋体" w:cs="宋体"/>
          <w:szCs w:val="21"/>
        </w:rPr>
        <w:t>9.2.3 有下列情形之一的，属于以他人名义投标：</w:t>
      </w:r>
    </w:p>
    <w:p w14:paraId="6D67E94C">
      <w:pPr>
        <w:adjustRightInd w:val="0"/>
        <w:snapToGrid w:val="0"/>
        <w:spacing w:line="360" w:lineRule="auto"/>
        <w:ind w:firstLine="420" w:firstLineChars="200"/>
        <w:rPr>
          <w:rFonts w:ascii="宋体" w:hAnsi="宋体" w:cs="宋体"/>
          <w:szCs w:val="21"/>
        </w:rPr>
      </w:pPr>
      <w:r>
        <w:rPr>
          <w:rFonts w:hint="eastAsia" w:ascii="宋体" w:hAnsi="宋体" w:cs="宋体"/>
          <w:szCs w:val="21"/>
        </w:rPr>
        <w:t>（1）使用通过受让或者租借等方式获取的资格、资质证书投标的。</w:t>
      </w:r>
    </w:p>
    <w:p w14:paraId="403C1193">
      <w:pPr>
        <w:adjustRightInd w:val="0"/>
        <w:snapToGrid w:val="0"/>
        <w:spacing w:line="360" w:lineRule="auto"/>
        <w:ind w:firstLine="420" w:firstLineChars="200"/>
        <w:rPr>
          <w:rFonts w:ascii="宋体" w:hAnsi="宋体" w:cs="宋体"/>
          <w:szCs w:val="21"/>
        </w:rPr>
      </w:pPr>
      <w:r>
        <w:rPr>
          <w:rFonts w:hint="eastAsia" w:ascii="宋体" w:hAnsi="宋体" w:cs="宋体"/>
          <w:szCs w:val="21"/>
        </w:rPr>
        <w:t>9.2.4 有下列情形之一的，属于以其他方式弄虚作假的行为：</w:t>
      </w:r>
    </w:p>
    <w:p w14:paraId="26D6D483">
      <w:pPr>
        <w:adjustRightInd w:val="0"/>
        <w:snapToGrid w:val="0"/>
        <w:spacing w:line="360" w:lineRule="auto"/>
        <w:ind w:firstLine="420" w:firstLineChars="200"/>
        <w:rPr>
          <w:rFonts w:ascii="宋体" w:hAnsi="宋体" w:cs="宋体"/>
          <w:szCs w:val="21"/>
        </w:rPr>
      </w:pPr>
      <w:r>
        <w:rPr>
          <w:rFonts w:hint="eastAsia" w:ascii="宋体" w:hAnsi="宋体" w:cs="宋体"/>
          <w:szCs w:val="21"/>
        </w:rPr>
        <w:t>（1）使用伪造、变造的许可证件；</w:t>
      </w:r>
    </w:p>
    <w:p w14:paraId="29293700">
      <w:pPr>
        <w:adjustRightInd w:val="0"/>
        <w:snapToGrid w:val="0"/>
        <w:spacing w:line="360" w:lineRule="auto"/>
        <w:ind w:firstLine="420" w:firstLineChars="200"/>
        <w:rPr>
          <w:rFonts w:ascii="宋体" w:hAnsi="宋体" w:cs="宋体"/>
          <w:szCs w:val="21"/>
        </w:rPr>
      </w:pPr>
      <w:r>
        <w:rPr>
          <w:rFonts w:hint="eastAsia" w:ascii="宋体" w:hAnsi="宋体" w:cs="宋体"/>
          <w:szCs w:val="21"/>
        </w:rPr>
        <w:t>（2）提供虚假的财务状况或者业绩；</w:t>
      </w:r>
    </w:p>
    <w:p w14:paraId="4E247BE8">
      <w:pPr>
        <w:adjustRightInd w:val="0"/>
        <w:snapToGrid w:val="0"/>
        <w:spacing w:line="360" w:lineRule="auto"/>
        <w:ind w:firstLine="420" w:firstLineChars="200"/>
        <w:rPr>
          <w:rFonts w:ascii="宋体" w:hAnsi="宋体" w:cs="宋体"/>
          <w:szCs w:val="21"/>
        </w:rPr>
      </w:pPr>
      <w:r>
        <w:rPr>
          <w:rFonts w:hint="eastAsia" w:ascii="宋体" w:hAnsi="宋体" w:cs="宋体"/>
          <w:szCs w:val="21"/>
        </w:rPr>
        <w:t>（3）提供虚假的信用状况；</w:t>
      </w:r>
    </w:p>
    <w:p w14:paraId="506D9D88">
      <w:pPr>
        <w:pStyle w:val="15"/>
        <w:adjustRightInd w:val="0"/>
        <w:snapToGrid w:val="0"/>
        <w:spacing w:after="0" w:line="360" w:lineRule="auto"/>
        <w:ind w:firstLine="420" w:firstLineChars="200"/>
        <w:rPr>
          <w:rFonts w:ascii="宋体" w:hAnsi="宋体" w:cs="宋体"/>
          <w:szCs w:val="21"/>
        </w:rPr>
      </w:pPr>
      <w:r>
        <w:rPr>
          <w:rFonts w:hint="eastAsia" w:ascii="宋体" w:hAnsi="宋体" w:cs="宋体"/>
          <w:szCs w:val="21"/>
        </w:rPr>
        <w:t>（4）提供虚假材料谋取中标、成交的，中标、成交无效；</w:t>
      </w:r>
    </w:p>
    <w:p w14:paraId="51E36814">
      <w:pPr>
        <w:adjustRightInd w:val="0"/>
        <w:snapToGrid w:val="0"/>
        <w:spacing w:line="360" w:lineRule="auto"/>
        <w:ind w:firstLine="420" w:firstLineChars="200"/>
        <w:rPr>
          <w:rFonts w:ascii="宋体" w:hAnsi="宋体" w:cs="宋体"/>
          <w:szCs w:val="21"/>
        </w:rPr>
      </w:pPr>
      <w:r>
        <w:rPr>
          <w:rFonts w:hint="eastAsia" w:ascii="宋体" w:hAnsi="宋体" w:cs="宋体"/>
          <w:szCs w:val="21"/>
        </w:rPr>
        <w:t>（5）其他弄虚作假的行为。</w:t>
      </w:r>
    </w:p>
    <w:p w14:paraId="247EF962">
      <w:pPr>
        <w:adjustRightInd w:val="0"/>
        <w:snapToGrid w:val="0"/>
        <w:spacing w:line="360" w:lineRule="auto"/>
        <w:ind w:firstLine="420" w:firstLineChars="200"/>
        <w:rPr>
          <w:rFonts w:ascii="宋体" w:hAnsi="宋体" w:cs="宋体"/>
          <w:szCs w:val="21"/>
        </w:rPr>
      </w:pPr>
      <w:r>
        <w:rPr>
          <w:rFonts w:hint="eastAsia" w:ascii="宋体" w:hAnsi="宋体" w:cs="宋体"/>
          <w:szCs w:val="21"/>
        </w:rPr>
        <w:t>9.2.5 投标人提供虚假材料谋取中标的，中标无效。并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E363037">
      <w:pPr>
        <w:adjustRightInd w:val="0"/>
        <w:snapToGrid w:val="0"/>
        <w:spacing w:line="360" w:lineRule="auto"/>
        <w:ind w:firstLine="422" w:firstLineChars="200"/>
        <w:outlineLvl w:val="3"/>
        <w:rPr>
          <w:rFonts w:ascii="宋体" w:hAnsi="宋体" w:cs="宋体"/>
          <w:b/>
          <w:szCs w:val="21"/>
        </w:rPr>
      </w:pPr>
      <w:bookmarkStart w:id="126" w:name="_Toc13930"/>
      <w:r>
        <w:rPr>
          <w:rFonts w:hint="eastAsia" w:ascii="宋体" w:hAnsi="宋体" w:cs="宋体"/>
          <w:b/>
          <w:szCs w:val="21"/>
        </w:rPr>
        <w:t>9.3 对评标委员会成员的纪律要求</w:t>
      </w:r>
      <w:bookmarkEnd w:id="124"/>
      <w:bookmarkEnd w:id="125"/>
      <w:bookmarkEnd w:id="126"/>
    </w:p>
    <w:p w14:paraId="5B2A05D1">
      <w:pPr>
        <w:adjustRightInd w:val="0"/>
        <w:snapToGrid w:val="0"/>
        <w:spacing w:line="360" w:lineRule="auto"/>
        <w:ind w:firstLine="420" w:firstLineChars="200"/>
        <w:rPr>
          <w:rFonts w:ascii="宋体" w:hAnsi="宋体" w:cs="宋体"/>
          <w:szCs w:val="21"/>
        </w:rPr>
      </w:pPr>
      <w:bookmarkStart w:id="127" w:name="_Toc323212721"/>
      <w:bookmarkStart w:id="128" w:name="_Toc281837640"/>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及标准”没有规定的评审因素和标准进行评标。</w:t>
      </w:r>
    </w:p>
    <w:p w14:paraId="458C2869">
      <w:pPr>
        <w:adjustRightInd w:val="0"/>
        <w:snapToGrid w:val="0"/>
        <w:spacing w:line="360" w:lineRule="auto"/>
        <w:ind w:firstLine="422" w:firstLineChars="200"/>
        <w:outlineLvl w:val="3"/>
        <w:rPr>
          <w:rFonts w:ascii="宋体" w:hAnsi="宋体" w:cs="宋体"/>
          <w:b/>
          <w:szCs w:val="21"/>
        </w:rPr>
      </w:pPr>
      <w:bookmarkStart w:id="129" w:name="_Toc31797"/>
      <w:r>
        <w:rPr>
          <w:rFonts w:hint="eastAsia" w:ascii="宋体" w:hAnsi="宋体" w:cs="宋体"/>
          <w:b/>
          <w:szCs w:val="21"/>
        </w:rPr>
        <w:t>9.4 对与评标活动有关的工作人员的纪律要求</w:t>
      </w:r>
      <w:bookmarkEnd w:id="127"/>
      <w:bookmarkEnd w:id="128"/>
      <w:bookmarkEnd w:id="129"/>
    </w:p>
    <w:p w14:paraId="0E066DC9">
      <w:pPr>
        <w:adjustRightInd w:val="0"/>
        <w:snapToGrid w:val="0"/>
        <w:spacing w:line="360" w:lineRule="auto"/>
        <w:ind w:firstLine="420" w:firstLineChars="200"/>
        <w:rPr>
          <w:rFonts w:ascii="宋体" w:hAnsi="宋体" w:cs="宋体"/>
          <w:szCs w:val="21"/>
        </w:rPr>
      </w:pPr>
      <w:bookmarkStart w:id="130" w:name="_Toc323212722"/>
      <w:bookmarkStart w:id="131" w:name="_Toc281837641"/>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0FE7E2C">
      <w:pPr>
        <w:adjustRightInd w:val="0"/>
        <w:snapToGrid w:val="0"/>
        <w:spacing w:line="360" w:lineRule="auto"/>
        <w:ind w:firstLine="422" w:firstLineChars="200"/>
        <w:outlineLvl w:val="3"/>
        <w:rPr>
          <w:rFonts w:ascii="宋体" w:hAnsi="宋体" w:cs="宋体"/>
          <w:b/>
          <w:szCs w:val="21"/>
        </w:rPr>
      </w:pPr>
      <w:bookmarkStart w:id="132" w:name="_Toc23777"/>
      <w:r>
        <w:rPr>
          <w:rFonts w:hint="eastAsia" w:ascii="宋体" w:hAnsi="宋体" w:cs="宋体"/>
          <w:b/>
          <w:szCs w:val="21"/>
        </w:rPr>
        <w:t>9.5 质疑</w:t>
      </w:r>
      <w:bookmarkEnd w:id="130"/>
      <w:bookmarkEnd w:id="131"/>
      <w:bookmarkEnd w:id="132"/>
      <w:r>
        <w:rPr>
          <w:rFonts w:hint="eastAsia" w:ascii="宋体" w:hAnsi="宋体" w:cs="宋体"/>
          <w:b/>
          <w:szCs w:val="21"/>
        </w:rPr>
        <w:t>和投诉</w:t>
      </w:r>
    </w:p>
    <w:p w14:paraId="0F3F8FA9">
      <w:pPr>
        <w:adjustRightInd w:val="0"/>
        <w:snapToGrid w:val="0"/>
        <w:spacing w:line="360" w:lineRule="auto"/>
        <w:ind w:firstLine="420" w:firstLineChars="200"/>
        <w:rPr>
          <w:rFonts w:ascii="宋体" w:hAnsi="宋体" w:cs="宋体"/>
          <w:szCs w:val="21"/>
        </w:rPr>
      </w:pPr>
      <w:bookmarkStart w:id="133" w:name="_Toc345178456"/>
      <w:r>
        <w:rPr>
          <w:rFonts w:hint="eastAsia" w:ascii="宋体" w:hAnsi="宋体" w:cs="宋体"/>
          <w:szCs w:val="21"/>
        </w:rPr>
        <w:t>（1）投标人认为招标文件、招标过程和中标结果使自己的权益受到损害的，可以在知道或者应知其权益受到损害之日起七个工作日内根据《中华人民共和国政府采购法》、《中华人民共和国政府采购法实施条例》和《政府采购质疑和投诉办法》的有关规定，依法向采购人和其委托的采购代理机构提出质疑。</w:t>
      </w:r>
    </w:p>
    <w:p w14:paraId="5B7AC32B">
      <w:pPr>
        <w:adjustRightInd w:val="0"/>
        <w:snapToGrid w:val="0"/>
        <w:spacing w:line="360" w:lineRule="auto"/>
        <w:ind w:firstLine="420" w:firstLineChars="200"/>
        <w:rPr>
          <w:rFonts w:ascii="宋体" w:hAnsi="宋体" w:cs="宋体"/>
          <w:szCs w:val="21"/>
        </w:rPr>
      </w:pPr>
      <w:r>
        <w:rPr>
          <w:rFonts w:hint="eastAsia" w:ascii="宋体" w:hAnsi="宋体" w:cs="宋体"/>
          <w:szCs w:val="21"/>
        </w:rPr>
        <w:t>（2）质疑投标人应按照财政部制定的《政府采购质疑函范本》格式和《政府采购质疑和投诉办法》的要求，在法定质疑期内以书面形式一次性提出针对同一采购程序环节的质疑。</w:t>
      </w:r>
    </w:p>
    <w:p w14:paraId="38D49E66">
      <w:pPr>
        <w:adjustRightInd w:val="0"/>
        <w:snapToGrid w:val="0"/>
        <w:spacing w:line="360" w:lineRule="auto"/>
        <w:ind w:firstLine="420" w:firstLineChars="200"/>
        <w:rPr>
          <w:rFonts w:ascii="宋体" w:hAnsi="宋体" w:cs="宋体"/>
          <w:szCs w:val="21"/>
        </w:rPr>
      </w:pPr>
      <w:r>
        <w:rPr>
          <w:rFonts w:hint="eastAsia" w:ascii="宋体" w:hAnsi="宋体" w:cs="宋体"/>
          <w:szCs w:val="21"/>
        </w:rPr>
        <w:t>（3）质疑函的内容及形式应符合《政府采购质疑和投诉办法》第十二条的规定。超出法定质疑期提交的质疑将被拒绝。</w:t>
      </w:r>
    </w:p>
    <w:p w14:paraId="47A6D67B">
      <w:pPr>
        <w:adjustRightInd w:val="0"/>
        <w:snapToGrid w:val="0"/>
        <w:spacing w:line="360" w:lineRule="auto"/>
        <w:ind w:firstLine="420" w:firstLineChars="200"/>
        <w:rPr>
          <w:rFonts w:ascii="宋体" w:hAnsi="宋体" w:cs="宋体"/>
          <w:szCs w:val="21"/>
        </w:rPr>
      </w:pPr>
      <w:r>
        <w:rPr>
          <w:rFonts w:hint="eastAsia" w:ascii="宋体" w:hAnsi="宋体" w:cs="宋体"/>
          <w:szCs w:val="21"/>
        </w:rPr>
        <w:t>（4）投标人质疑应当有明确的请求和必要的证明材料（质疑人捏造事实或是提供虚假质疑材料的，属于虚假、恶意质疑，被质疑人应当驳回质疑，并向同级政府采购监督管理部门报告，核实后将其列入不良行为记录名单，并依法予以处罚），未按要求提出质疑的不予受理。</w:t>
      </w:r>
    </w:p>
    <w:p w14:paraId="2D1341A8">
      <w:pPr>
        <w:adjustRightInd w:val="0"/>
        <w:snapToGrid w:val="0"/>
        <w:spacing w:line="360" w:lineRule="auto"/>
        <w:ind w:firstLine="420" w:firstLineChars="200"/>
        <w:rPr>
          <w:rFonts w:ascii="宋体" w:hAnsi="宋体" w:cs="宋体"/>
          <w:szCs w:val="21"/>
        </w:rPr>
      </w:pPr>
      <w:r>
        <w:rPr>
          <w:rFonts w:hint="eastAsia" w:ascii="宋体" w:hAnsi="宋体" w:cs="宋体"/>
          <w:szCs w:val="21"/>
        </w:rPr>
        <w:t>（5）对采购人、采购代理机构的答复不满意或者采购人、采购代理机构未在规定的时间内作出答复的，供应商可以在质疑答复期满后 15 个工作日内实名向（项目所属）同级政府采购监督管理部门投诉。</w:t>
      </w:r>
    </w:p>
    <w:p w14:paraId="77661B99">
      <w:pPr>
        <w:adjustRightInd w:val="0"/>
        <w:snapToGrid w:val="0"/>
        <w:spacing w:line="360" w:lineRule="auto"/>
        <w:ind w:firstLine="420" w:firstLineChars="200"/>
        <w:rPr>
          <w:rFonts w:ascii="宋体" w:hAnsi="宋体" w:cs="宋体"/>
          <w:szCs w:val="21"/>
        </w:rPr>
      </w:pPr>
      <w:r>
        <w:rPr>
          <w:rFonts w:hint="eastAsia" w:ascii="宋体" w:hAnsi="宋体" w:cs="宋体"/>
          <w:szCs w:val="21"/>
        </w:rPr>
        <w:t>（6）质疑和投诉应有具体的质疑（投诉）事项和必要的证明材料或事实根据，供应商对其质疑和投诉内容的真实性及其来源的合法性承担法律责任。</w:t>
      </w:r>
    </w:p>
    <w:p w14:paraId="6A70686A">
      <w:pPr>
        <w:adjustRightInd w:val="0"/>
        <w:snapToGrid w:val="0"/>
        <w:spacing w:line="360" w:lineRule="auto"/>
        <w:ind w:firstLine="420" w:firstLineChars="200"/>
        <w:rPr>
          <w:rFonts w:ascii="宋体" w:hAnsi="宋体" w:cs="宋体"/>
          <w:szCs w:val="21"/>
        </w:rPr>
      </w:pPr>
      <w:bookmarkStart w:id="134" w:name="_Toc12679"/>
      <w:bookmarkStart w:id="135" w:name="_Toc2980"/>
      <w:bookmarkStart w:id="136" w:name="_Toc21753"/>
      <w:r>
        <w:rPr>
          <w:rFonts w:hint="eastAsia" w:ascii="宋体" w:hAnsi="宋体" w:cs="宋体"/>
          <w:szCs w:val="21"/>
        </w:rPr>
        <w:t>（7）投标人知道或者应知其权益受到损害之日是指：</w:t>
      </w:r>
    </w:p>
    <w:p w14:paraId="5C23EA9E">
      <w:pPr>
        <w:adjustRightInd w:val="0"/>
        <w:snapToGrid w:val="0"/>
        <w:spacing w:line="360" w:lineRule="auto"/>
        <w:ind w:firstLine="420" w:firstLineChars="200"/>
        <w:rPr>
          <w:rFonts w:ascii="宋体" w:hAnsi="宋体" w:cs="宋体"/>
          <w:szCs w:val="21"/>
        </w:rPr>
      </w:pPr>
      <w:r>
        <w:rPr>
          <w:rFonts w:hint="eastAsia" w:ascii="宋体" w:hAnsi="宋体" w:cs="宋体"/>
          <w:szCs w:val="21"/>
        </w:rPr>
        <w:t>①对招标文件提出质疑的，为获取招标文件之日或者招标文件公告期限届满之日；</w:t>
      </w:r>
    </w:p>
    <w:p w14:paraId="476FF8B1">
      <w:pPr>
        <w:adjustRightInd w:val="0"/>
        <w:snapToGrid w:val="0"/>
        <w:spacing w:line="360" w:lineRule="auto"/>
        <w:ind w:firstLine="420" w:firstLineChars="200"/>
        <w:rPr>
          <w:rFonts w:ascii="宋体" w:hAnsi="宋体" w:cs="宋体"/>
          <w:szCs w:val="21"/>
        </w:rPr>
      </w:pPr>
      <w:r>
        <w:rPr>
          <w:rFonts w:hint="eastAsia" w:ascii="宋体" w:hAnsi="宋体" w:cs="宋体"/>
          <w:szCs w:val="21"/>
        </w:rPr>
        <w:t>②对采购过程提出质疑的，为各采购程序环节结束之日；</w:t>
      </w:r>
    </w:p>
    <w:p w14:paraId="014C9B29">
      <w:pPr>
        <w:adjustRightInd w:val="0"/>
        <w:snapToGrid w:val="0"/>
        <w:spacing w:line="360" w:lineRule="auto"/>
        <w:ind w:firstLine="420" w:firstLineChars="200"/>
        <w:rPr>
          <w:rFonts w:ascii="宋体" w:hAnsi="宋体" w:cs="宋体"/>
          <w:szCs w:val="21"/>
        </w:rPr>
      </w:pPr>
      <w:r>
        <w:rPr>
          <w:rFonts w:hint="eastAsia" w:ascii="宋体" w:hAnsi="宋体" w:cs="宋体"/>
          <w:szCs w:val="21"/>
        </w:rPr>
        <w:t>③对中标结果提出质疑的，为中标结果公告期限届满之日。</w:t>
      </w:r>
    </w:p>
    <w:p w14:paraId="40285459">
      <w:pPr>
        <w:pStyle w:val="3"/>
        <w:keepNext w:val="0"/>
        <w:keepLines w:val="0"/>
        <w:numPr>
          <w:ilvl w:val="1"/>
          <w:numId w:val="0"/>
        </w:numPr>
        <w:adjustRightInd w:val="0"/>
        <w:snapToGrid w:val="0"/>
        <w:spacing w:before="0" w:after="0"/>
        <w:jc w:val="left"/>
        <w:rPr>
          <w:rFonts w:ascii="宋体" w:hAnsi="宋体" w:cs="宋体"/>
          <w:sz w:val="21"/>
          <w:szCs w:val="21"/>
        </w:rPr>
      </w:pPr>
      <w:bookmarkStart w:id="137" w:name="_Toc3194"/>
      <w:bookmarkStart w:id="138" w:name="_Toc14798"/>
      <w:bookmarkStart w:id="139" w:name="_Toc29651"/>
      <w:r>
        <w:rPr>
          <w:rFonts w:hint="eastAsia" w:ascii="宋体" w:hAnsi="宋体" w:cs="宋体"/>
          <w:sz w:val="21"/>
          <w:szCs w:val="21"/>
        </w:rPr>
        <w:t>10.需要补充的其他内容</w:t>
      </w:r>
      <w:bookmarkEnd w:id="133"/>
      <w:bookmarkEnd w:id="134"/>
      <w:bookmarkEnd w:id="135"/>
      <w:bookmarkEnd w:id="136"/>
      <w:bookmarkEnd w:id="137"/>
      <w:bookmarkEnd w:id="138"/>
      <w:bookmarkEnd w:id="139"/>
    </w:p>
    <w:p w14:paraId="5184FC45">
      <w:pPr>
        <w:adjustRightInd w:val="0"/>
        <w:snapToGrid w:val="0"/>
        <w:spacing w:line="360" w:lineRule="auto"/>
        <w:ind w:firstLine="420" w:firstLineChars="200"/>
        <w:rPr>
          <w:rFonts w:ascii="宋体" w:hAnsi="宋体" w:cs="宋体"/>
          <w:b/>
          <w:bCs/>
          <w:szCs w:val="21"/>
        </w:rPr>
      </w:pPr>
      <w:r>
        <w:rPr>
          <w:rFonts w:hint="eastAsia" w:ascii="宋体" w:hAnsi="宋体" w:cs="宋体"/>
          <w:szCs w:val="21"/>
        </w:rPr>
        <w:t>需要补充的其他内容：见投标人须知前附表。</w:t>
      </w:r>
    </w:p>
    <w:p w14:paraId="256EDD45">
      <w:pPr>
        <w:rPr>
          <w:rFonts w:ascii="宋体" w:hAnsi="宋体"/>
          <w:b/>
          <w:bCs/>
          <w:sz w:val="32"/>
          <w:szCs w:val="32"/>
        </w:rPr>
      </w:pPr>
    </w:p>
    <w:p w14:paraId="1A5B491B">
      <w:pPr>
        <w:rPr>
          <w:rFonts w:ascii="宋体" w:hAnsi="宋体"/>
          <w:b/>
          <w:bCs/>
          <w:sz w:val="32"/>
          <w:szCs w:val="32"/>
        </w:rPr>
      </w:pPr>
    </w:p>
    <w:p w14:paraId="7FB0233F">
      <w:pPr>
        <w:rPr>
          <w:rFonts w:ascii="宋体" w:hAnsi="宋体"/>
          <w:b/>
          <w:bCs/>
          <w:sz w:val="32"/>
          <w:szCs w:val="32"/>
        </w:rPr>
      </w:pPr>
      <w:r>
        <w:rPr>
          <w:rFonts w:hint="eastAsia" w:ascii="宋体" w:hAnsi="宋体"/>
          <w:b/>
          <w:bCs/>
          <w:sz w:val="32"/>
          <w:szCs w:val="32"/>
        </w:rPr>
        <w:br w:type="page"/>
      </w:r>
    </w:p>
    <w:p w14:paraId="7A350B05">
      <w:pPr>
        <w:wordWrap w:val="0"/>
        <w:adjustRightInd w:val="0"/>
        <w:snapToGrid w:val="0"/>
        <w:spacing w:before="100" w:beforeAutospacing="1" w:after="100" w:afterAutospacing="1"/>
        <w:jc w:val="center"/>
        <w:outlineLvl w:val="0"/>
        <w:rPr>
          <w:rFonts w:ascii="宋体" w:hAnsi="宋体"/>
          <w:b/>
          <w:bCs/>
          <w:sz w:val="32"/>
          <w:szCs w:val="32"/>
        </w:rPr>
      </w:pPr>
      <w:bookmarkStart w:id="140" w:name="_Toc8798"/>
      <w:r>
        <w:rPr>
          <w:rFonts w:hint="eastAsia" w:ascii="宋体" w:hAnsi="宋体"/>
          <w:b/>
          <w:bCs/>
          <w:sz w:val="32"/>
          <w:szCs w:val="32"/>
        </w:rPr>
        <w:t xml:space="preserve">第三章 </w:t>
      </w:r>
      <w:bookmarkStart w:id="141" w:name="_Toc12614"/>
      <w:r>
        <w:rPr>
          <w:rFonts w:hint="eastAsia" w:ascii="宋体" w:hAnsi="宋体"/>
          <w:b/>
          <w:bCs/>
          <w:sz w:val="32"/>
          <w:szCs w:val="32"/>
        </w:rPr>
        <w:t>资格审查、评标办法及标准</w:t>
      </w:r>
      <w:bookmarkEnd w:id="57"/>
      <w:bookmarkEnd w:id="58"/>
      <w:bookmarkEnd w:id="99"/>
      <w:bookmarkEnd w:id="100"/>
      <w:bookmarkEnd w:id="140"/>
      <w:bookmarkEnd w:id="141"/>
    </w:p>
    <w:p w14:paraId="43FCDA00">
      <w:pPr>
        <w:pStyle w:val="75"/>
        <w:spacing w:before="0" w:after="0" w:line="360" w:lineRule="auto"/>
        <w:ind w:firstLine="422" w:firstLineChars="200"/>
        <w:jc w:val="both"/>
        <w:outlineLvl w:val="9"/>
        <w:rPr>
          <w:rFonts w:hAnsi="宋体"/>
          <w:color w:val="auto"/>
          <w:sz w:val="21"/>
          <w:szCs w:val="21"/>
        </w:rPr>
      </w:pPr>
      <w:bookmarkStart w:id="142" w:name="_Toc26369"/>
      <w:bookmarkStart w:id="143" w:name="_Toc19686"/>
      <w:bookmarkStart w:id="144" w:name="_Toc16293"/>
      <w:bookmarkStart w:id="145" w:name="_Toc19244"/>
      <w:bookmarkStart w:id="146" w:name="_Toc19241"/>
      <w:bookmarkStart w:id="147" w:name="_Toc16266"/>
      <w:bookmarkStart w:id="148" w:name="_Toc21337"/>
      <w:bookmarkStart w:id="149" w:name="_Toc16607"/>
      <w:bookmarkStart w:id="150" w:name="_Toc465"/>
      <w:bookmarkStart w:id="151" w:name="_Toc2378"/>
      <w:bookmarkStart w:id="152" w:name="_Toc23399"/>
      <w:bookmarkStart w:id="153" w:name="_Toc25514"/>
      <w:bookmarkStart w:id="154" w:name="_Toc26184"/>
      <w:bookmarkStart w:id="155" w:name="_Toc1301"/>
      <w:r>
        <w:rPr>
          <w:rFonts w:hint="eastAsia" w:hAnsi="宋体"/>
          <w:color w:val="auto"/>
          <w:sz w:val="21"/>
          <w:szCs w:val="21"/>
        </w:rPr>
        <w:t>一、评标依据</w:t>
      </w:r>
    </w:p>
    <w:p w14:paraId="3F72B0C0">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1.《中华人民共和国政府采购法》；</w:t>
      </w:r>
    </w:p>
    <w:p w14:paraId="7537FCBF">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2.《中华人民共和国政府采购法实施条例》；</w:t>
      </w:r>
    </w:p>
    <w:p w14:paraId="5D757421">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3.《政府采购货物和服务招标投标管理办法》（财政部第 87 号令）；</w:t>
      </w:r>
    </w:p>
    <w:p w14:paraId="1006E178">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4.《评标委员和评标方法暂行规定》；</w:t>
      </w:r>
    </w:p>
    <w:p w14:paraId="2CDBF12A">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5.其他相关的法律法规、部门规章及规范性文件规定；</w:t>
      </w:r>
    </w:p>
    <w:p w14:paraId="58F2EC26">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6.本项目招标文件。</w:t>
      </w:r>
    </w:p>
    <w:p w14:paraId="2F8BC5AE">
      <w:pPr>
        <w:pStyle w:val="75"/>
        <w:spacing w:before="0" w:after="0" w:line="360" w:lineRule="auto"/>
        <w:ind w:firstLine="422" w:firstLineChars="200"/>
        <w:jc w:val="both"/>
        <w:outlineLvl w:val="9"/>
        <w:rPr>
          <w:rFonts w:hAnsi="宋体"/>
          <w:color w:val="auto"/>
          <w:sz w:val="21"/>
          <w:szCs w:val="21"/>
        </w:rPr>
      </w:pPr>
      <w:r>
        <w:rPr>
          <w:rFonts w:hint="eastAsia" w:hAnsi="宋体"/>
          <w:color w:val="auto"/>
          <w:sz w:val="21"/>
          <w:szCs w:val="21"/>
        </w:rPr>
        <w:t>二、评标原则</w:t>
      </w:r>
    </w:p>
    <w:p w14:paraId="38A55128">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客观、公正、审慎原则。</w:t>
      </w:r>
    </w:p>
    <w:p w14:paraId="45F6CFA1">
      <w:pPr>
        <w:pStyle w:val="75"/>
        <w:spacing w:before="0" w:after="0" w:line="360" w:lineRule="auto"/>
        <w:ind w:firstLine="422" w:firstLineChars="200"/>
        <w:jc w:val="both"/>
        <w:outlineLvl w:val="9"/>
        <w:rPr>
          <w:rFonts w:hAnsi="宋体"/>
          <w:color w:val="auto"/>
          <w:sz w:val="21"/>
          <w:szCs w:val="21"/>
        </w:rPr>
      </w:pPr>
      <w:r>
        <w:rPr>
          <w:rFonts w:hint="eastAsia" w:hAnsi="宋体"/>
          <w:color w:val="auto"/>
          <w:sz w:val="21"/>
          <w:szCs w:val="21"/>
        </w:rPr>
        <w:t>三、评标方法</w:t>
      </w:r>
    </w:p>
    <w:p w14:paraId="520F62D9">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本项目评标方法采用综合评分法，是指投标文件满足招标文件全部实质性要求且按照评审因素的量化指标评审得分由高到低的顺序推荐中标候选人的评标方法。如汇总得分相同的，按投标报价由低到高顺序排列，得分且投标报价也相同的，按技术参数得分由高到低顺序排列，仍由相同的，由采购人随机抽取确定顺序。</w:t>
      </w:r>
    </w:p>
    <w:p w14:paraId="1F6C24F4">
      <w:pPr>
        <w:pStyle w:val="75"/>
        <w:spacing w:before="0" w:after="0" w:line="360" w:lineRule="auto"/>
        <w:ind w:firstLine="422" w:firstLineChars="200"/>
        <w:jc w:val="both"/>
        <w:outlineLvl w:val="9"/>
        <w:rPr>
          <w:rFonts w:hAnsi="宋体"/>
          <w:color w:val="auto"/>
          <w:sz w:val="21"/>
          <w:szCs w:val="21"/>
        </w:rPr>
      </w:pPr>
      <w:r>
        <w:rPr>
          <w:rFonts w:hint="eastAsia" w:hAnsi="宋体"/>
          <w:color w:val="auto"/>
          <w:sz w:val="21"/>
          <w:szCs w:val="21"/>
        </w:rPr>
        <w:t>四、评标程序</w:t>
      </w:r>
    </w:p>
    <w:p w14:paraId="7A649D4F">
      <w:pPr>
        <w:pStyle w:val="75"/>
        <w:spacing w:before="0" w:after="0" w:line="360" w:lineRule="auto"/>
        <w:ind w:firstLine="420" w:firstLineChars="200"/>
        <w:jc w:val="both"/>
        <w:outlineLvl w:val="9"/>
        <w:rPr>
          <w:rFonts w:hAnsi="宋体"/>
          <w:b w:val="0"/>
          <w:color w:val="auto"/>
          <w:sz w:val="21"/>
          <w:szCs w:val="21"/>
        </w:rPr>
      </w:pPr>
      <w:r>
        <w:rPr>
          <w:rFonts w:hint="eastAsia" w:hAnsi="宋体"/>
          <w:b w:val="0"/>
          <w:color w:val="auto"/>
          <w:sz w:val="21"/>
          <w:szCs w:val="21"/>
        </w:rPr>
        <w:t>1、开标结束后，首先按照财政部第87号令规定，由采购人或采购代理机构对投标人的资格进行审查。资格审查人员依据本章资格性审查表规定的标准对投标文件进行资格性审查，以确定投标人是否具备投标资格，有一项不符合审查标准的，将认定其投标无效，合格投标人不足3家的，将不进入评审阶段。资格性审查标准见下表</w:t>
      </w:r>
      <w:bookmarkEnd w:id="142"/>
      <w:bookmarkEnd w:id="143"/>
      <w:r>
        <w:rPr>
          <w:rFonts w:hint="eastAsia" w:hAnsi="宋体"/>
          <w:b w:val="0"/>
          <w:color w:val="auto"/>
          <w:sz w:val="21"/>
          <w:szCs w:val="21"/>
        </w:rPr>
        <w:t>：</w:t>
      </w:r>
    </w:p>
    <w:p w14:paraId="0B6958D1">
      <w:pPr>
        <w:pStyle w:val="75"/>
        <w:spacing w:before="0" w:after="0" w:line="360" w:lineRule="auto"/>
        <w:outlineLvl w:val="9"/>
        <w:rPr>
          <w:rFonts w:hAnsi="宋体"/>
          <w:color w:val="auto"/>
          <w:sz w:val="21"/>
          <w:szCs w:val="21"/>
        </w:rPr>
      </w:pPr>
      <w:r>
        <w:rPr>
          <w:rFonts w:hint="eastAsia" w:hAnsi="宋体"/>
          <w:color w:val="auto"/>
          <w:sz w:val="21"/>
          <w:szCs w:val="21"/>
        </w:rPr>
        <w:t>资格审查表</w:t>
      </w:r>
    </w:p>
    <w:bookmarkEnd w:id="144"/>
    <w:bookmarkEnd w:id="145"/>
    <w:bookmarkEnd w:id="146"/>
    <w:bookmarkEnd w:id="147"/>
    <w:bookmarkEnd w:id="148"/>
    <w:bookmarkEnd w:id="149"/>
    <w:bookmarkEnd w:id="150"/>
    <w:bookmarkEnd w:id="151"/>
    <w:bookmarkEnd w:id="152"/>
    <w:bookmarkEnd w:id="153"/>
    <w:bookmarkEnd w:id="154"/>
    <w:bookmarkEnd w:id="155"/>
    <w:tbl>
      <w:tblPr>
        <w:tblStyle w:val="5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85"/>
        <w:gridCol w:w="5511"/>
      </w:tblGrid>
      <w:tr w14:paraId="22C5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42" w:type="dxa"/>
            <w:vAlign w:val="center"/>
          </w:tcPr>
          <w:p w14:paraId="3951D7D3">
            <w:pPr>
              <w:wordWrap w:val="0"/>
              <w:adjustRightInd w:val="0"/>
              <w:snapToGrid w:val="0"/>
              <w:spacing w:beforeLines="20" w:line="360" w:lineRule="auto"/>
              <w:ind w:left="42" w:leftChars="20"/>
              <w:jc w:val="center"/>
              <w:rPr>
                <w:rFonts w:ascii="宋体" w:hAnsi="宋体" w:cs="宋体"/>
                <w:b/>
                <w:kern w:val="0"/>
                <w:szCs w:val="21"/>
              </w:rPr>
            </w:pPr>
            <w:r>
              <w:rPr>
                <w:rFonts w:hint="eastAsia" w:ascii="宋体" w:hAnsi="宋体" w:cs="宋体"/>
                <w:b/>
                <w:kern w:val="0"/>
                <w:szCs w:val="21"/>
              </w:rPr>
              <w:t>序号</w:t>
            </w:r>
          </w:p>
        </w:tc>
        <w:tc>
          <w:tcPr>
            <w:tcW w:w="2885" w:type="dxa"/>
            <w:vAlign w:val="center"/>
          </w:tcPr>
          <w:p w14:paraId="20034E10">
            <w:pPr>
              <w:wordWrap w:val="0"/>
              <w:adjustRightInd w:val="0"/>
              <w:snapToGrid w:val="0"/>
              <w:spacing w:beforeLines="20" w:line="360" w:lineRule="auto"/>
              <w:ind w:left="42" w:leftChars="20"/>
              <w:jc w:val="center"/>
              <w:rPr>
                <w:rFonts w:ascii="宋体" w:hAnsi="宋体" w:cs="宋体"/>
                <w:b/>
                <w:kern w:val="0"/>
                <w:szCs w:val="21"/>
              </w:rPr>
            </w:pPr>
            <w:r>
              <w:rPr>
                <w:rFonts w:hint="eastAsia" w:ascii="宋体" w:hAnsi="宋体" w:cs="宋体"/>
                <w:b/>
                <w:kern w:val="0"/>
                <w:szCs w:val="21"/>
              </w:rPr>
              <w:t>评审因素</w:t>
            </w:r>
          </w:p>
        </w:tc>
        <w:tc>
          <w:tcPr>
            <w:tcW w:w="5511" w:type="dxa"/>
            <w:vAlign w:val="center"/>
          </w:tcPr>
          <w:p w14:paraId="580D8ED1">
            <w:pPr>
              <w:wordWrap w:val="0"/>
              <w:adjustRightInd w:val="0"/>
              <w:snapToGrid w:val="0"/>
              <w:spacing w:beforeLines="20" w:line="360" w:lineRule="auto"/>
              <w:ind w:left="42" w:leftChars="20"/>
              <w:jc w:val="center"/>
              <w:rPr>
                <w:rFonts w:ascii="宋体" w:hAnsi="宋体"/>
                <w:b/>
                <w:szCs w:val="21"/>
              </w:rPr>
            </w:pPr>
            <w:r>
              <w:rPr>
                <w:rFonts w:hint="eastAsia" w:ascii="宋体" w:hAnsi="宋体" w:cs="宋体"/>
                <w:b/>
                <w:kern w:val="0"/>
                <w:szCs w:val="21"/>
              </w:rPr>
              <w:t>评审标准</w:t>
            </w:r>
          </w:p>
        </w:tc>
      </w:tr>
      <w:tr w14:paraId="50CA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shd w:val="clear" w:color="auto" w:fill="auto"/>
            <w:vAlign w:val="center"/>
          </w:tcPr>
          <w:p w14:paraId="47A77E58">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w:t>
            </w:r>
          </w:p>
        </w:tc>
        <w:tc>
          <w:tcPr>
            <w:tcW w:w="2885" w:type="dxa"/>
            <w:shd w:val="clear" w:color="auto" w:fill="auto"/>
            <w:vAlign w:val="center"/>
          </w:tcPr>
          <w:p w14:paraId="7441470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具有独立承担民事责任的能力</w:t>
            </w:r>
          </w:p>
        </w:tc>
        <w:tc>
          <w:tcPr>
            <w:tcW w:w="5511" w:type="dxa"/>
            <w:shd w:val="clear" w:color="auto" w:fill="auto"/>
            <w:vAlign w:val="center"/>
          </w:tcPr>
          <w:p w14:paraId="680BC432">
            <w:pPr>
              <w:adjustRightInd w:val="0"/>
              <w:snapToGrid w:val="0"/>
              <w:spacing w:beforeLines="20" w:line="360" w:lineRule="auto"/>
              <w:ind w:left="42" w:leftChars="20"/>
              <w:jc w:val="center"/>
              <w:rPr>
                <w:rFonts w:ascii="宋体" w:hAnsi="宋体" w:cs="宋体"/>
                <w:szCs w:val="21"/>
              </w:rPr>
            </w:pPr>
            <w:r>
              <w:rPr>
                <w:rFonts w:hint="eastAsia" w:ascii="宋体" w:hAnsi="宋体"/>
                <w:bCs/>
                <w:szCs w:val="21"/>
              </w:rPr>
              <w:t>供应商提供法人或者其他组织的营业执照等证明文件</w:t>
            </w:r>
          </w:p>
        </w:tc>
      </w:tr>
      <w:tr w14:paraId="75B7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shd w:val="clear" w:color="auto" w:fill="auto"/>
            <w:vAlign w:val="center"/>
          </w:tcPr>
          <w:p w14:paraId="007458E8">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2</w:t>
            </w:r>
          </w:p>
        </w:tc>
        <w:tc>
          <w:tcPr>
            <w:tcW w:w="2885" w:type="dxa"/>
            <w:shd w:val="clear" w:color="auto" w:fill="auto"/>
            <w:vAlign w:val="center"/>
          </w:tcPr>
          <w:p w14:paraId="5715607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具有良好的商业信誉和健全的财务会计制度</w:t>
            </w:r>
          </w:p>
        </w:tc>
        <w:tc>
          <w:tcPr>
            <w:tcW w:w="5511" w:type="dxa"/>
            <w:shd w:val="clear" w:color="auto" w:fill="auto"/>
            <w:vAlign w:val="center"/>
          </w:tcPr>
          <w:p w14:paraId="0EAB420C">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提供2023年度</w:t>
            </w:r>
            <w:r>
              <w:rPr>
                <w:rFonts w:hint="eastAsia" w:ascii="宋体" w:hAnsi="宋体" w:cs="宋体"/>
                <w:szCs w:val="21"/>
                <w:lang w:eastAsia="zh-CN"/>
              </w:rPr>
              <w:t>或者</w:t>
            </w:r>
            <w:r>
              <w:rPr>
                <w:rFonts w:hint="eastAsia" w:ascii="宋体" w:hAnsi="宋体" w:cs="宋体"/>
                <w:szCs w:val="21"/>
                <w:lang w:val="en-US" w:eastAsia="zh-CN"/>
              </w:rPr>
              <w:t>2024年度</w:t>
            </w:r>
            <w:r>
              <w:rPr>
                <w:rFonts w:hint="eastAsia" w:ascii="宋体" w:hAnsi="宋体" w:cs="宋体"/>
                <w:szCs w:val="21"/>
              </w:rPr>
              <w:t>经第三方审计机构出具的财务审计报告</w:t>
            </w:r>
            <w:r>
              <w:rPr>
                <w:rFonts w:hint="eastAsia" w:ascii="宋体" w:hAnsi="宋体" w:cs="宋体"/>
                <w:szCs w:val="21"/>
                <w:lang w:eastAsia="zh-CN"/>
              </w:rPr>
              <w:t>或</w:t>
            </w:r>
            <w:r>
              <w:rPr>
                <w:rFonts w:hint="eastAsia" w:ascii="宋体" w:hAnsi="宋体" w:cs="宋体"/>
                <w:szCs w:val="21"/>
              </w:rPr>
              <w:t>需提供基本开户银行出具的有效资信证明；</w:t>
            </w:r>
          </w:p>
        </w:tc>
      </w:tr>
      <w:tr w14:paraId="3F4C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shd w:val="clear" w:color="auto" w:fill="auto"/>
            <w:vAlign w:val="center"/>
          </w:tcPr>
          <w:p w14:paraId="233B5FE8">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w:t>
            </w:r>
          </w:p>
        </w:tc>
        <w:tc>
          <w:tcPr>
            <w:tcW w:w="2885" w:type="dxa"/>
            <w:shd w:val="clear" w:color="auto" w:fill="auto"/>
            <w:vAlign w:val="center"/>
          </w:tcPr>
          <w:p w14:paraId="46BE877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具有履行合同所必需的设备和专业技术能力</w:t>
            </w:r>
          </w:p>
        </w:tc>
        <w:tc>
          <w:tcPr>
            <w:tcW w:w="5511" w:type="dxa"/>
            <w:shd w:val="clear" w:color="auto" w:fill="auto"/>
            <w:vAlign w:val="center"/>
          </w:tcPr>
          <w:p w14:paraId="21C9E636">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提供声明函</w:t>
            </w:r>
          </w:p>
        </w:tc>
      </w:tr>
      <w:tr w14:paraId="67B3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shd w:val="clear" w:color="auto" w:fill="auto"/>
            <w:vAlign w:val="center"/>
          </w:tcPr>
          <w:p w14:paraId="36063BFE">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4</w:t>
            </w:r>
          </w:p>
        </w:tc>
        <w:tc>
          <w:tcPr>
            <w:tcW w:w="2885" w:type="dxa"/>
            <w:shd w:val="clear" w:color="auto" w:fill="auto"/>
            <w:vAlign w:val="center"/>
          </w:tcPr>
          <w:p w14:paraId="59159792">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有依法缴纳税收和社会保障资金的良好记录</w:t>
            </w:r>
          </w:p>
        </w:tc>
        <w:tc>
          <w:tcPr>
            <w:tcW w:w="5511" w:type="dxa"/>
            <w:shd w:val="clear" w:color="auto" w:fill="auto"/>
            <w:vAlign w:val="center"/>
          </w:tcPr>
          <w:p w14:paraId="58A52E0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提供202</w:t>
            </w:r>
            <w:r>
              <w:rPr>
                <w:rFonts w:hint="eastAsia" w:ascii="宋体" w:hAnsi="宋体" w:cs="宋体"/>
                <w:szCs w:val="21"/>
                <w:lang w:val="en-US" w:eastAsia="zh-CN"/>
              </w:rPr>
              <w:t>5</w:t>
            </w:r>
            <w:r>
              <w:rPr>
                <w:rFonts w:hint="eastAsia" w:ascii="宋体" w:hAnsi="宋体" w:cs="宋体"/>
                <w:szCs w:val="21"/>
              </w:rPr>
              <w:t>年1月1日以来至少一个月的依法缴纳税收和社会保障资金的相关证明。依法免税或不需要缴纳社会保障资金的供应商，应提供其依法免税或免缴纳社会保障资金的证明文件；</w:t>
            </w:r>
          </w:p>
        </w:tc>
      </w:tr>
      <w:tr w14:paraId="2594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42" w:type="dxa"/>
            <w:shd w:val="clear" w:color="auto" w:fill="auto"/>
            <w:vAlign w:val="center"/>
          </w:tcPr>
          <w:p w14:paraId="1344D384">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5</w:t>
            </w:r>
          </w:p>
        </w:tc>
        <w:tc>
          <w:tcPr>
            <w:tcW w:w="2885" w:type="dxa"/>
            <w:shd w:val="clear" w:color="auto" w:fill="auto"/>
            <w:vAlign w:val="center"/>
          </w:tcPr>
          <w:p w14:paraId="3D1E63B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参加政府采购活动前三年内，在经营活动中没有重大违法记录</w:t>
            </w:r>
          </w:p>
        </w:tc>
        <w:tc>
          <w:tcPr>
            <w:tcW w:w="5511" w:type="dxa"/>
            <w:shd w:val="clear" w:color="auto" w:fill="auto"/>
            <w:vAlign w:val="center"/>
          </w:tcPr>
          <w:p w14:paraId="201B6827">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提供声明函</w:t>
            </w:r>
          </w:p>
        </w:tc>
      </w:tr>
      <w:tr w14:paraId="57B5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42" w:type="dxa"/>
            <w:shd w:val="clear" w:color="auto" w:fill="auto"/>
            <w:vAlign w:val="center"/>
          </w:tcPr>
          <w:p w14:paraId="50672C0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6</w:t>
            </w:r>
          </w:p>
        </w:tc>
        <w:tc>
          <w:tcPr>
            <w:tcW w:w="2885" w:type="dxa"/>
            <w:shd w:val="clear" w:color="auto" w:fill="auto"/>
            <w:vAlign w:val="center"/>
          </w:tcPr>
          <w:p w14:paraId="17E95877">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信用要求</w:t>
            </w:r>
          </w:p>
        </w:tc>
        <w:tc>
          <w:tcPr>
            <w:tcW w:w="5511" w:type="dxa"/>
            <w:shd w:val="clear" w:color="auto" w:fill="auto"/>
            <w:vAlign w:val="center"/>
          </w:tcPr>
          <w:p w14:paraId="641FB574">
            <w:pPr>
              <w:adjustRightInd w:val="0"/>
              <w:snapToGrid w:val="0"/>
              <w:spacing w:beforeLines="20" w:line="360" w:lineRule="auto"/>
              <w:ind w:left="42" w:leftChars="20"/>
              <w:jc w:val="left"/>
              <w:rPr>
                <w:rFonts w:ascii="宋体" w:hAnsi="宋体" w:cs="宋体"/>
                <w:szCs w:val="21"/>
              </w:rPr>
            </w:pPr>
            <w:r>
              <w:rPr>
                <w:rFonts w:hint="eastAsia" w:ascii="宋体" w:hAnsi="宋体" w:cs="宋体"/>
                <w:szCs w:val="21"/>
              </w:rPr>
              <w:t>采购人或采购代理机构将在开标当日开标后通过以下渠道对各供应商信用记录进行查询,信用信息查询记录及相关证据与其他采购文件一并保存：失信被执行人查询渠道：“中国执行信息公开网”网站；重大税收违法失信主体查询渠道：“信用中国”网站；政府采购严重违法失信行为查询渠道：“中国政府采购网”。</w:t>
            </w:r>
          </w:p>
          <w:p w14:paraId="6E34D5ED">
            <w:pPr>
              <w:adjustRightInd w:val="0"/>
              <w:snapToGrid w:val="0"/>
              <w:spacing w:beforeLines="20" w:line="360" w:lineRule="auto"/>
              <w:ind w:left="42" w:leftChars="20"/>
              <w:jc w:val="left"/>
              <w:rPr>
                <w:rFonts w:ascii="宋体" w:hAnsi="宋体" w:cs="宋体"/>
                <w:szCs w:val="21"/>
              </w:rPr>
            </w:pPr>
            <w:r>
              <w:rPr>
                <w:rFonts w:hint="eastAsia" w:ascii="宋体" w:hAnsi="宋体" w:cs="宋体"/>
                <w:szCs w:val="21"/>
              </w:rPr>
              <w:t>注：采购代理机构查询之后，网站信息发生的任何变更均不再作为评审依据。</w:t>
            </w:r>
          </w:p>
        </w:tc>
      </w:tr>
      <w:tr w14:paraId="539F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2" w:type="dxa"/>
            <w:shd w:val="clear" w:color="auto" w:fill="auto"/>
            <w:vAlign w:val="center"/>
          </w:tcPr>
          <w:p w14:paraId="4A4F547C">
            <w:pPr>
              <w:adjustRightInd w:val="0"/>
              <w:snapToGrid w:val="0"/>
              <w:spacing w:beforeLines="20" w:line="360" w:lineRule="auto"/>
              <w:ind w:left="42" w:leftChars="20"/>
              <w:jc w:val="center"/>
              <w:rPr>
                <w:rFonts w:ascii="宋体" w:hAnsi="宋体"/>
                <w:bCs/>
                <w:szCs w:val="21"/>
              </w:rPr>
            </w:pPr>
            <w:r>
              <w:rPr>
                <w:rFonts w:hint="eastAsia" w:ascii="宋体" w:hAnsi="宋体"/>
                <w:bCs/>
                <w:szCs w:val="21"/>
              </w:rPr>
              <w:t>7</w:t>
            </w:r>
          </w:p>
        </w:tc>
        <w:tc>
          <w:tcPr>
            <w:tcW w:w="2885" w:type="dxa"/>
            <w:shd w:val="clear" w:color="auto" w:fill="auto"/>
            <w:vAlign w:val="center"/>
          </w:tcPr>
          <w:p w14:paraId="6F9AEF37">
            <w:pPr>
              <w:adjustRightInd w:val="0"/>
              <w:snapToGrid w:val="0"/>
              <w:spacing w:beforeLines="20" w:line="360" w:lineRule="auto"/>
              <w:ind w:left="42" w:leftChars="20"/>
              <w:jc w:val="center"/>
              <w:rPr>
                <w:rFonts w:ascii="宋体" w:hAnsi="宋体" w:cs="宋体"/>
                <w:szCs w:val="21"/>
              </w:rPr>
            </w:pPr>
            <w:r>
              <w:rPr>
                <w:rFonts w:hint="eastAsia" w:ascii="宋体" w:hAnsi="宋体"/>
                <w:bCs/>
                <w:szCs w:val="21"/>
              </w:rPr>
              <w:t>资质要求</w:t>
            </w:r>
          </w:p>
        </w:tc>
        <w:tc>
          <w:tcPr>
            <w:tcW w:w="5511" w:type="dxa"/>
            <w:shd w:val="clear" w:color="auto" w:fill="auto"/>
            <w:vAlign w:val="center"/>
          </w:tcPr>
          <w:p w14:paraId="1114A230">
            <w:pPr>
              <w:adjustRightInd w:val="0"/>
              <w:snapToGrid w:val="0"/>
              <w:spacing w:beforeLines="20" w:line="360" w:lineRule="auto"/>
              <w:ind w:left="42" w:leftChars="20"/>
              <w:jc w:val="center"/>
              <w:rPr>
                <w:rFonts w:ascii="宋体" w:hAnsi="宋体" w:cs="宋体"/>
                <w:szCs w:val="21"/>
              </w:rPr>
            </w:pPr>
            <w:r>
              <w:rPr>
                <w:rFonts w:hint="eastAsia" w:ascii="宋体" w:hAnsi="宋体"/>
                <w:bCs/>
                <w:szCs w:val="21"/>
              </w:rPr>
              <w:t>供应商须具有主管部门颁发的有效的《劳务派遣经营许可证》、《人力资源服务许可证》</w:t>
            </w:r>
          </w:p>
        </w:tc>
      </w:tr>
      <w:tr w14:paraId="3EBA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shd w:val="clear" w:color="auto" w:fill="auto"/>
            <w:vAlign w:val="center"/>
          </w:tcPr>
          <w:p w14:paraId="48F2369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8</w:t>
            </w:r>
          </w:p>
        </w:tc>
        <w:tc>
          <w:tcPr>
            <w:tcW w:w="2885" w:type="dxa"/>
            <w:shd w:val="clear" w:color="auto" w:fill="auto"/>
            <w:vAlign w:val="center"/>
          </w:tcPr>
          <w:p w14:paraId="121BF993">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单位负责人为同一人或者存在直接控股关系、管理关系的不同供应商，不得参加同一合同项下的政府采购活动</w:t>
            </w:r>
          </w:p>
        </w:tc>
        <w:tc>
          <w:tcPr>
            <w:tcW w:w="5511" w:type="dxa"/>
            <w:shd w:val="clear" w:color="auto" w:fill="auto"/>
            <w:vAlign w:val="center"/>
          </w:tcPr>
          <w:p w14:paraId="142F57B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提供声明函</w:t>
            </w:r>
          </w:p>
        </w:tc>
      </w:tr>
      <w:tr w14:paraId="5B3D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2" w:type="dxa"/>
            <w:vAlign w:val="center"/>
          </w:tcPr>
          <w:p w14:paraId="7C7E4345">
            <w:pPr>
              <w:wordWrap w:val="0"/>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9</w:t>
            </w:r>
          </w:p>
        </w:tc>
        <w:tc>
          <w:tcPr>
            <w:tcW w:w="2885" w:type="dxa"/>
            <w:vAlign w:val="center"/>
          </w:tcPr>
          <w:p w14:paraId="1A0CCC3C">
            <w:pPr>
              <w:wordWrap w:val="0"/>
              <w:adjustRightInd w:val="0"/>
              <w:snapToGrid w:val="0"/>
              <w:spacing w:beforeLines="20" w:line="360" w:lineRule="auto"/>
              <w:ind w:left="42" w:leftChars="20"/>
              <w:jc w:val="center"/>
              <w:rPr>
                <w:rFonts w:ascii="宋体" w:hAnsi="宋体"/>
                <w:bCs/>
                <w:szCs w:val="21"/>
              </w:rPr>
            </w:pPr>
            <w:r>
              <w:rPr>
                <w:rFonts w:hint="eastAsia" w:ascii="宋体" w:hAnsi="宋体" w:cs="宋体"/>
                <w:szCs w:val="21"/>
              </w:rPr>
              <w:t>其他要求</w:t>
            </w:r>
          </w:p>
        </w:tc>
        <w:tc>
          <w:tcPr>
            <w:tcW w:w="5511" w:type="dxa"/>
            <w:vAlign w:val="center"/>
          </w:tcPr>
          <w:p w14:paraId="02B27C03">
            <w:pPr>
              <w:wordWrap w:val="0"/>
              <w:adjustRightInd w:val="0"/>
              <w:snapToGrid w:val="0"/>
              <w:spacing w:beforeLines="20" w:line="360" w:lineRule="auto"/>
              <w:ind w:left="42" w:leftChars="20"/>
              <w:rPr>
                <w:rFonts w:ascii="宋体" w:hAnsi="宋体" w:cs="宋体"/>
                <w:kern w:val="0"/>
                <w:szCs w:val="21"/>
              </w:rPr>
            </w:pPr>
            <w:r>
              <w:rPr>
                <w:rFonts w:hint="eastAsia" w:ascii="宋体" w:hAnsi="宋体" w:cs="宋体"/>
                <w:szCs w:val="21"/>
              </w:rPr>
              <w:t>不存在招标文件及法律法规规定的其他无效情形</w:t>
            </w:r>
          </w:p>
        </w:tc>
      </w:tr>
    </w:tbl>
    <w:p w14:paraId="716725BB">
      <w:pPr>
        <w:pStyle w:val="15"/>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2.评标准备工作</w:t>
      </w:r>
    </w:p>
    <w:p w14:paraId="7B0238C6">
      <w:pPr>
        <w:pStyle w:val="15"/>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2.1 核对评审专家身份和采购人代表授权函；</w:t>
      </w:r>
    </w:p>
    <w:p w14:paraId="183687FD">
      <w:pPr>
        <w:pStyle w:val="15"/>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2.2 宣布评标纪律，集中保管通讯工具；</w:t>
      </w:r>
    </w:p>
    <w:p w14:paraId="04B07D69">
      <w:pPr>
        <w:pStyle w:val="15"/>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2.3 公布投标人名单，告知评审专家应当回避的情形；</w:t>
      </w:r>
    </w:p>
    <w:p w14:paraId="4E34D44A">
      <w:pPr>
        <w:pStyle w:val="15"/>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2.4 组织评标委员会推选评标组长；</w:t>
      </w:r>
    </w:p>
    <w:p w14:paraId="4034ED87">
      <w:pPr>
        <w:pStyle w:val="15"/>
        <w:adjustRightInd w:val="0"/>
        <w:snapToGrid w:val="0"/>
        <w:spacing w:line="360" w:lineRule="auto"/>
        <w:ind w:firstLine="420" w:firstLineChars="200"/>
        <w:jc w:val="left"/>
        <w:rPr>
          <w:rFonts w:cs="宋体"/>
          <w:snapToGrid w:val="0"/>
          <w:kern w:val="0"/>
          <w:szCs w:val="21"/>
        </w:rPr>
      </w:pPr>
      <w:r>
        <w:rPr>
          <w:rFonts w:hint="eastAsia" w:cs="宋体"/>
          <w:snapToGrid w:val="0"/>
          <w:kern w:val="0"/>
          <w:szCs w:val="21"/>
        </w:rPr>
        <w:t>3.符合性审查</w:t>
      </w:r>
    </w:p>
    <w:p w14:paraId="2444ABB8">
      <w:pPr>
        <w:pStyle w:val="15"/>
        <w:adjustRightInd w:val="0"/>
        <w:snapToGrid w:val="0"/>
        <w:spacing w:line="360" w:lineRule="auto"/>
        <w:ind w:firstLine="420" w:firstLineChars="200"/>
        <w:jc w:val="left"/>
        <w:rPr>
          <w:rFonts w:ascii="宋体" w:hAnsi="宋体" w:cs="宋体"/>
          <w:snapToGrid w:val="0"/>
          <w:kern w:val="0"/>
          <w:szCs w:val="21"/>
        </w:rPr>
      </w:pPr>
      <w:r>
        <w:rPr>
          <w:rFonts w:hint="eastAsia" w:cs="宋体"/>
          <w:snapToGrid w:val="0"/>
          <w:kern w:val="0"/>
          <w:szCs w:val="21"/>
        </w:rPr>
        <w:t>符合性审查是指评标委员会依据招标文件的规定，从商务和技术方面对投标文件的有效性和完整性进行审查，以确定是否对招标文件的实质性要求做出响应</w:t>
      </w:r>
      <w:r>
        <w:rPr>
          <w:rFonts w:hint="eastAsia" w:ascii="宋体" w:hAnsi="宋体" w:cs="宋体"/>
          <w:snapToGrid w:val="0"/>
          <w:kern w:val="0"/>
          <w:szCs w:val="21"/>
        </w:rPr>
        <w:t>。符合性评审标准见下表：</w:t>
      </w:r>
    </w:p>
    <w:p w14:paraId="0513108C">
      <w:pPr>
        <w:pStyle w:val="15"/>
        <w:adjustRightInd w:val="0"/>
        <w:snapToGrid w:val="0"/>
        <w:spacing w:line="440" w:lineRule="exact"/>
        <w:jc w:val="center"/>
        <w:rPr>
          <w:rFonts w:cs="宋体"/>
          <w:b/>
          <w:bCs/>
          <w:spacing w:val="4"/>
          <w:szCs w:val="21"/>
        </w:rPr>
      </w:pPr>
      <w:r>
        <w:rPr>
          <w:rFonts w:hint="eastAsia" w:cs="宋体"/>
          <w:b/>
          <w:bCs/>
          <w:spacing w:val="4"/>
          <w:szCs w:val="21"/>
        </w:rPr>
        <w:t>符合性审查表</w:t>
      </w:r>
    </w:p>
    <w:tbl>
      <w:tblPr>
        <w:tblStyle w:val="51"/>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191"/>
        <w:gridCol w:w="5242"/>
      </w:tblGrid>
      <w:tr w14:paraId="09C6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6" w:type="dxa"/>
            <w:vAlign w:val="center"/>
          </w:tcPr>
          <w:p w14:paraId="28990C5D">
            <w:pPr>
              <w:widowControl/>
              <w:wordWrap w:val="0"/>
              <w:spacing w:beforeLines="20" w:line="360" w:lineRule="auto"/>
              <w:jc w:val="center"/>
              <w:rPr>
                <w:rFonts w:ascii="宋体" w:hAnsi="宋体" w:cs="宋体"/>
                <w:b/>
                <w:bCs/>
                <w:kern w:val="0"/>
                <w:szCs w:val="21"/>
              </w:rPr>
            </w:pPr>
            <w:r>
              <w:rPr>
                <w:rFonts w:hint="eastAsia" w:ascii="宋体" w:hAnsi="宋体" w:cs="宋体"/>
                <w:b/>
                <w:bCs/>
                <w:kern w:val="0"/>
                <w:szCs w:val="21"/>
              </w:rPr>
              <w:t>序号</w:t>
            </w:r>
          </w:p>
        </w:tc>
        <w:tc>
          <w:tcPr>
            <w:tcW w:w="2191" w:type="dxa"/>
            <w:vAlign w:val="center"/>
          </w:tcPr>
          <w:p w14:paraId="4A1C2F94">
            <w:pPr>
              <w:widowControl/>
              <w:wordWrap w:val="0"/>
              <w:spacing w:beforeLines="20" w:line="360" w:lineRule="auto"/>
              <w:jc w:val="center"/>
              <w:rPr>
                <w:rFonts w:ascii="宋体" w:hAnsi="宋体" w:cs="宋体"/>
                <w:b/>
                <w:bCs/>
                <w:kern w:val="0"/>
                <w:szCs w:val="21"/>
              </w:rPr>
            </w:pPr>
            <w:r>
              <w:rPr>
                <w:rFonts w:hint="eastAsia" w:ascii="宋体" w:hAnsi="宋体" w:cs="宋体"/>
                <w:b/>
                <w:bCs/>
                <w:kern w:val="0"/>
                <w:szCs w:val="21"/>
              </w:rPr>
              <w:t>评审因素</w:t>
            </w:r>
          </w:p>
        </w:tc>
        <w:tc>
          <w:tcPr>
            <w:tcW w:w="5242" w:type="dxa"/>
            <w:vAlign w:val="center"/>
          </w:tcPr>
          <w:p w14:paraId="1D6847E8">
            <w:pPr>
              <w:widowControl/>
              <w:wordWrap w:val="0"/>
              <w:spacing w:beforeLines="20" w:line="360" w:lineRule="auto"/>
              <w:jc w:val="center"/>
              <w:rPr>
                <w:rFonts w:ascii="宋体" w:hAnsi="宋体"/>
                <w:b/>
                <w:bCs/>
                <w:szCs w:val="21"/>
              </w:rPr>
            </w:pPr>
            <w:r>
              <w:rPr>
                <w:rFonts w:hint="eastAsia" w:ascii="宋体" w:hAnsi="宋体" w:cs="宋体"/>
                <w:b/>
                <w:bCs/>
                <w:kern w:val="0"/>
                <w:szCs w:val="21"/>
              </w:rPr>
              <w:t>评审标准</w:t>
            </w:r>
          </w:p>
        </w:tc>
      </w:tr>
      <w:tr w14:paraId="4E50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6" w:type="dxa"/>
            <w:vAlign w:val="center"/>
          </w:tcPr>
          <w:p w14:paraId="0D2B3845">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1</w:t>
            </w:r>
          </w:p>
        </w:tc>
        <w:tc>
          <w:tcPr>
            <w:tcW w:w="2191" w:type="dxa"/>
            <w:vAlign w:val="center"/>
          </w:tcPr>
          <w:p w14:paraId="4C690896">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签字盖章</w:t>
            </w:r>
          </w:p>
        </w:tc>
        <w:tc>
          <w:tcPr>
            <w:tcW w:w="5242" w:type="dxa"/>
            <w:vAlign w:val="center"/>
          </w:tcPr>
          <w:p w14:paraId="74D1550D">
            <w:pPr>
              <w:wordWrap w:val="0"/>
              <w:spacing w:beforeLines="20" w:line="360" w:lineRule="auto"/>
              <w:rPr>
                <w:spacing w:val="-1"/>
              </w:rPr>
            </w:pPr>
            <w:r>
              <w:rPr>
                <w:spacing w:val="-1"/>
              </w:rPr>
              <w:t>符合第二章“供应商须知前附表”第3.7.3项规定</w:t>
            </w:r>
          </w:p>
        </w:tc>
      </w:tr>
      <w:tr w14:paraId="44A3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6" w:type="dxa"/>
            <w:vAlign w:val="center"/>
          </w:tcPr>
          <w:p w14:paraId="36D65C1D">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2</w:t>
            </w:r>
          </w:p>
        </w:tc>
        <w:tc>
          <w:tcPr>
            <w:tcW w:w="2191" w:type="dxa"/>
            <w:vAlign w:val="center"/>
          </w:tcPr>
          <w:p w14:paraId="26D41E67">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报价唯一</w:t>
            </w:r>
          </w:p>
        </w:tc>
        <w:tc>
          <w:tcPr>
            <w:tcW w:w="5242" w:type="dxa"/>
            <w:vAlign w:val="center"/>
          </w:tcPr>
          <w:p w14:paraId="08FD553A">
            <w:pPr>
              <w:wordWrap w:val="0"/>
              <w:spacing w:beforeLines="20" w:line="360" w:lineRule="auto"/>
              <w:rPr>
                <w:spacing w:val="-1"/>
              </w:rPr>
            </w:pPr>
            <w:r>
              <w:rPr>
                <w:rFonts w:hint="eastAsia"/>
                <w:spacing w:val="-1"/>
              </w:rPr>
              <w:t>只能有一个有效报价且未超过最高限价并符合</w:t>
            </w:r>
            <w:r>
              <w:rPr>
                <w:spacing w:val="-1"/>
              </w:rPr>
              <w:t>“供应商须知前附表”</w:t>
            </w:r>
            <w:r>
              <w:rPr>
                <w:rFonts w:hint="eastAsia"/>
                <w:spacing w:val="-1"/>
              </w:rPr>
              <w:t>3.2.7的规定</w:t>
            </w:r>
          </w:p>
        </w:tc>
      </w:tr>
      <w:tr w14:paraId="3317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6" w:type="dxa"/>
            <w:vAlign w:val="center"/>
          </w:tcPr>
          <w:p w14:paraId="78645D9C">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3</w:t>
            </w:r>
          </w:p>
        </w:tc>
        <w:tc>
          <w:tcPr>
            <w:tcW w:w="2191" w:type="dxa"/>
            <w:vAlign w:val="center"/>
          </w:tcPr>
          <w:p w14:paraId="6867B189">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采购内容</w:t>
            </w:r>
          </w:p>
        </w:tc>
        <w:tc>
          <w:tcPr>
            <w:tcW w:w="5242" w:type="dxa"/>
            <w:vAlign w:val="center"/>
          </w:tcPr>
          <w:p w14:paraId="768B0915">
            <w:pPr>
              <w:wordWrap w:val="0"/>
              <w:spacing w:beforeLines="20" w:line="360" w:lineRule="auto"/>
              <w:rPr>
                <w:spacing w:val="-1"/>
              </w:rPr>
            </w:pPr>
            <w:r>
              <w:rPr>
                <w:spacing w:val="-1"/>
              </w:rPr>
              <w:t xml:space="preserve">符合第二章“供应商须知前附表”第 </w:t>
            </w:r>
            <w:r>
              <w:rPr>
                <w:rFonts w:hint="eastAsia"/>
                <w:spacing w:val="-1"/>
              </w:rPr>
              <w:t>1.3.1</w:t>
            </w:r>
            <w:r>
              <w:rPr>
                <w:spacing w:val="-1"/>
              </w:rPr>
              <w:t>项规定</w:t>
            </w:r>
          </w:p>
        </w:tc>
      </w:tr>
      <w:tr w14:paraId="4D0F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6" w:type="dxa"/>
            <w:vAlign w:val="center"/>
          </w:tcPr>
          <w:p w14:paraId="17A87325">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4</w:t>
            </w:r>
          </w:p>
        </w:tc>
        <w:tc>
          <w:tcPr>
            <w:tcW w:w="2191" w:type="dxa"/>
            <w:vAlign w:val="center"/>
          </w:tcPr>
          <w:p w14:paraId="1BD04C13">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服务期限</w:t>
            </w:r>
          </w:p>
        </w:tc>
        <w:tc>
          <w:tcPr>
            <w:tcW w:w="5242" w:type="dxa"/>
            <w:vAlign w:val="center"/>
          </w:tcPr>
          <w:p w14:paraId="7D605F5F">
            <w:pPr>
              <w:wordWrap w:val="0"/>
              <w:spacing w:beforeLines="20" w:line="360" w:lineRule="auto"/>
              <w:rPr>
                <w:spacing w:val="-1"/>
              </w:rPr>
            </w:pPr>
            <w:r>
              <w:rPr>
                <w:spacing w:val="-1"/>
              </w:rPr>
              <w:t xml:space="preserve">符合第二章“供应商须知前附表”第 </w:t>
            </w:r>
            <w:r>
              <w:rPr>
                <w:rFonts w:hint="eastAsia"/>
                <w:spacing w:val="-1"/>
              </w:rPr>
              <w:t>1.3.2</w:t>
            </w:r>
            <w:r>
              <w:rPr>
                <w:spacing w:val="-1"/>
              </w:rPr>
              <w:t>项规定</w:t>
            </w:r>
          </w:p>
        </w:tc>
      </w:tr>
      <w:tr w14:paraId="53CD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6" w:type="dxa"/>
            <w:vAlign w:val="center"/>
          </w:tcPr>
          <w:p w14:paraId="5875033A">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5</w:t>
            </w:r>
          </w:p>
        </w:tc>
        <w:tc>
          <w:tcPr>
            <w:tcW w:w="2191" w:type="dxa"/>
            <w:shd w:val="clear" w:color="auto" w:fill="auto"/>
            <w:vAlign w:val="center"/>
          </w:tcPr>
          <w:p w14:paraId="22712B7A">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服务质量</w:t>
            </w:r>
          </w:p>
        </w:tc>
        <w:tc>
          <w:tcPr>
            <w:tcW w:w="5242" w:type="dxa"/>
            <w:shd w:val="clear" w:color="auto" w:fill="auto"/>
            <w:vAlign w:val="center"/>
          </w:tcPr>
          <w:p w14:paraId="6EB7DBCC">
            <w:pPr>
              <w:wordWrap w:val="0"/>
              <w:spacing w:beforeLines="20" w:line="360" w:lineRule="auto"/>
              <w:rPr>
                <w:spacing w:val="-1"/>
              </w:rPr>
            </w:pPr>
            <w:r>
              <w:rPr>
                <w:spacing w:val="-1"/>
              </w:rPr>
              <w:t xml:space="preserve">符合第二章“供应商须知前附表”第 </w:t>
            </w:r>
            <w:r>
              <w:rPr>
                <w:rFonts w:hint="eastAsia"/>
                <w:spacing w:val="-1"/>
              </w:rPr>
              <w:t>1.3.3</w:t>
            </w:r>
            <w:r>
              <w:rPr>
                <w:spacing w:val="-1"/>
              </w:rPr>
              <w:t>项规定</w:t>
            </w:r>
          </w:p>
        </w:tc>
      </w:tr>
      <w:tr w14:paraId="6A3D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6" w:type="dxa"/>
            <w:vAlign w:val="center"/>
          </w:tcPr>
          <w:p w14:paraId="25A5A7E2">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6</w:t>
            </w:r>
          </w:p>
        </w:tc>
        <w:tc>
          <w:tcPr>
            <w:tcW w:w="2191" w:type="dxa"/>
            <w:vAlign w:val="center"/>
          </w:tcPr>
          <w:p w14:paraId="2F5B7B66">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投标有效期</w:t>
            </w:r>
          </w:p>
        </w:tc>
        <w:tc>
          <w:tcPr>
            <w:tcW w:w="5242" w:type="dxa"/>
            <w:vAlign w:val="center"/>
          </w:tcPr>
          <w:p w14:paraId="711AC545">
            <w:pPr>
              <w:wordWrap w:val="0"/>
              <w:spacing w:beforeLines="20" w:line="360" w:lineRule="auto"/>
              <w:rPr>
                <w:spacing w:val="-1"/>
              </w:rPr>
            </w:pPr>
            <w:r>
              <w:rPr>
                <w:spacing w:val="-1"/>
              </w:rPr>
              <w:t>符合第二章“供应商须知前附表”第</w:t>
            </w:r>
            <w:r>
              <w:rPr>
                <w:rFonts w:hint="eastAsia"/>
                <w:spacing w:val="-1"/>
              </w:rPr>
              <w:t>3.3.1</w:t>
            </w:r>
            <w:r>
              <w:rPr>
                <w:spacing w:val="-1"/>
              </w:rPr>
              <w:t>项规定</w:t>
            </w:r>
          </w:p>
        </w:tc>
      </w:tr>
      <w:tr w14:paraId="2238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6" w:type="dxa"/>
            <w:vAlign w:val="center"/>
          </w:tcPr>
          <w:p w14:paraId="625F1ECC">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7</w:t>
            </w:r>
          </w:p>
        </w:tc>
        <w:tc>
          <w:tcPr>
            <w:tcW w:w="2191" w:type="dxa"/>
            <w:vAlign w:val="center"/>
          </w:tcPr>
          <w:p w14:paraId="3322C6AB">
            <w:pPr>
              <w:widowControl/>
              <w:wordWrap w:val="0"/>
              <w:spacing w:beforeLines="20" w:line="360" w:lineRule="auto"/>
              <w:jc w:val="center"/>
              <w:rPr>
                <w:rFonts w:ascii="宋体" w:hAnsi="宋体" w:cs="宋体"/>
                <w:kern w:val="0"/>
                <w:szCs w:val="21"/>
              </w:rPr>
            </w:pPr>
            <w:r>
              <w:rPr>
                <w:rFonts w:hint="eastAsia" w:ascii="宋体" w:hAnsi="宋体" w:cs="宋体"/>
                <w:szCs w:val="21"/>
              </w:rPr>
              <w:t>劳务派遣管理费支付方式</w:t>
            </w:r>
          </w:p>
        </w:tc>
        <w:tc>
          <w:tcPr>
            <w:tcW w:w="5242" w:type="dxa"/>
            <w:vAlign w:val="center"/>
          </w:tcPr>
          <w:p w14:paraId="6FAEAD31">
            <w:pPr>
              <w:wordWrap w:val="0"/>
              <w:spacing w:beforeLines="20" w:line="360" w:lineRule="auto"/>
              <w:rPr>
                <w:rFonts w:ascii="宋体" w:hAnsi="宋体" w:cs="宋体"/>
                <w:kern w:val="0"/>
                <w:szCs w:val="21"/>
              </w:rPr>
            </w:pPr>
            <w:r>
              <w:rPr>
                <w:spacing w:val="-1"/>
              </w:rPr>
              <w:t>符合第二章“供应商须知前附表”第</w:t>
            </w:r>
            <w:r>
              <w:rPr>
                <w:rFonts w:hint="eastAsia"/>
                <w:spacing w:val="-1"/>
              </w:rPr>
              <w:t>7.5.4</w:t>
            </w:r>
            <w:r>
              <w:rPr>
                <w:spacing w:val="-1"/>
              </w:rPr>
              <w:t>项规定</w:t>
            </w:r>
          </w:p>
        </w:tc>
      </w:tr>
      <w:tr w14:paraId="4B24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6" w:type="dxa"/>
            <w:vAlign w:val="center"/>
          </w:tcPr>
          <w:p w14:paraId="3A545ADD">
            <w:pPr>
              <w:widowControl/>
              <w:wordWrap w:val="0"/>
              <w:spacing w:beforeLines="20" w:line="360" w:lineRule="auto"/>
              <w:jc w:val="center"/>
              <w:rPr>
                <w:rFonts w:ascii="宋体" w:hAnsi="宋体" w:cs="宋体"/>
                <w:kern w:val="0"/>
                <w:szCs w:val="21"/>
              </w:rPr>
            </w:pPr>
            <w:r>
              <w:rPr>
                <w:rFonts w:hint="eastAsia" w:ascii="宋体" w:hAnsi="宋体" w:cs="宋体"/>
                <w:kern w:val="0"/>
                <w:szCs w:val="21"/>
              </w:rPr>
              <w:t>8</w:t>
            </w:r>
          </w:p>
        </w:tc>
        <w:tc>
          <w:tcPr>
            <w:tcW w:w="2191" w:type="dxa"/>
            <w:shd w:val="clear" w:color="auto" w:fill="auto"/>
            <w:vAlign w:val="center"/>
          </w:tcPr>
          <w:p w14:paraId="08648D0F">
            <w:pPr>
              <w:wordWrap w:val="0"/>
              <w:spacing w:beforeLines="20" w:line="360" w:lineRule="auto"/>
              <w:jc w:val="center"/>
              <w:rPr>
                <w:rFonts w:ascii="宋体" w:hAnsi="宋体"/>
                <w:szCs w:val="21"/>
              </w:rPr>
            </w:pPr>
            <w:r>
              <w:rPr>
                <w:rFonts w:hint="eastAsia" w:ascii="宋体" w:hAnsi="宋体"/>
                <w:szCs w:val="21"/>
              </w:rPr>
              <w:t>其他</w:t>
            </w:r>
          </w:p>
        </w:tc>
        <w:tc>
          <w:tcPr>
            <w:tcW w:w="5242" w:type="dxa"/>
            <w:shd w:val="clear" w:color="auto" w:fill="auto"/>
            <w:vAlign w:val="center"/>
          </w:tcPr>
          <w:p w14:paraId="776B4119">
            <w:pPr>
              <w:wordWrap w:val="0"/>
              <w:spacing w:beforeLines="20" w:line="360" w:lineRule="auto"/>
              <w:rPr>
                <w:rFonts w:ascii="宋体" w:hAnsi="宋体"/>
                <w:szCs w:val="21"/>
              </w:rPr>
            </w:pPr>
            <w:r>
              <w:rPr>
                <w:rFonts w:hint="eastAsia" w:ascii="宋体" w:hAnsi="宋体"/>
                <w:szCs w:val="21"/>
              </w:rPr>
              <w:t>投标文件未附有采购人不能接受的实质性条件</w:t>
            </w:r>
          </w:p>
        </w:tc>
      </w:tr>
    </w:tbl>
    <w:p w14:paraId="1D64AF16">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4.要求投标人对投标文件有关事项作出澄清或者说明</w:t>
      </w:r>
    </w:p>
    <w:p w14:paraId="149C7175">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评标委员会认为投标人的报价明显低于其他通过符合性审查投标人的报价，有可能影响</w:t>
      </w:r>
      <w:r>
        <w:rPr>
          <w:rFonts w:hint="eastAsia" w:cs="宋体"/>
          <w:snapToGrid w:val="0"/>
          <w:kern w:val="0"/>
          <w:szCs w:val="21"/>
          <w:lang w:eastAsia="zh-CN"/>
        </w:rPr>
        <w:t>服务</w:t>
      </w:r>
      <w:r>
        <w:rPr>
          <w:rFonts w:hint="eastAsia" w:cs="宋体"/>
          <w:snapToGrid w:val="0"/>
          <w:kern w:val="0"/>
          <w:szCs w:val="21"/>
        </w:rPr>
        <w:t>质量或者不能诚信履约的，应当要求其在评标现场合理的时间内提供书面说明，必要时提交相关证明材料；投标人不能证明其报价合理性的，评标委员会应当将其作为无效投标处理。</w:t>
      </w:r>
    </w:p>
    <w:p w14:paraId="6A656A74">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5.对投标文件进行比较和评价</w:t>
      </w:r>
    </w:p>
    <w:p w14:paraId="53657DE7">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本项目评标方法为综合评分法，评标委员会对满足招标文件全部实质性要求的投标文件，按照招标文件规定的评审因素的量化指标进行评审打分，以评审因素的量化指标评审得分从高到低顺序确定中标候选人。</w:t>
      </w:r>
    </w:p>
    <w:p w14:paraId="597F0A84">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评标委员会成员独立对每个有效投标人的投标文件进行评价、打分；然后汇总每个投标人的得分，计算得分平均值，以平均值由高到低进行排序，按排序顺序推荐中标候选人。</w:t>
      </w:r>
    </w:p>
    <w:p w14:paraId="0C9F8077">
      <w:pPr>
        <w:pStyle w:val="15"/>
        <w:tabs>
          <w:tab w:val="left" w:pos="5250"/>
        </w:tabs>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6.确定中标候选人名单，或者根据采购人委托直接确定中标人。</w:t>
      </w:r>
    </w:p>
    <w:p w14:paraId="4A462B62">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7.检查复核评标结果。</w:t>
      </w:r>
    </w:p>
    <w:p w14:paraId="086DBAF6">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8.评标委员会编写评标报告。</w:t>
      </w:r>
    </w:p>
    <w:p w14:paraId="41D75754">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评标报告包括以下内容：</w:t>
      </w:r>
    </w:p>
    <w:p w14:paraId="32506446">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（一）招标公告刊登的媒体名称、开标日期和地点；</w:t>
      </w:r>
    </w:p>
    <w:p w14:paraId="76917605">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（二）投标人名单和评标委员会成员名单；</w:t>
      </w:r>
    </w:p>
    <w:p w14:paraId="4A77A9F6">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（三）评标方法和标准；</w:t>
      </w:r>
    </w:p>
    <w:p w14:paraId="70BF4D87">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（四）开标记录和评标情况及说明，包括无效投标人名单及原因；</w:t>
      </w:r>
    </w:p>
    <w:p w14:paraId="45BC7198">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（五）评标结果，确定的中标候选人名单或者经采购人委托直接确定的中标人；</w:t>
      </w:r>
    </w:p>
    <w:p w14:paraId="045DEB20">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（六）其他需要说明的情况，包括评标过程中投标人根据评标委员会要求进行的澄清、说明或者补正，评标委员会成员的更换等。</w:t>
      </w:r>
    </w:p>
    <w:p w14:paraId="2C0C5893">
      <w:pPr>
        <w:pStyle w:val="15"/>
        <w:adjustRightInd w:val="0"/>
        <w:snapToGrid w:val="0"/>
        <w:spacing w:after="0" w:line="360" w:lineRule="auto"/>
        <w:ind w:firstLine="422" w:firstLineChars="200"/>
        <w:jc w:val="left"/>
        <w:rPr>
          <w:rFonts w:cs="宋体"/>
          <w:snapToGrid w:val="0"/>
          <w:kern w:val="0"/>
          <w:szCs w:val="21"/>
        </w:rPr>
      </w:pPr>
      <w:r>
        <w:rPr>
          <w:rFonts w:hint="eastAsia" w:cs="宋体"/>
          <w:b/>
          <w:bCs/>
          <w:snapToGrid w:val="0"/>
          <w:kern w:val="0"/>
          <w:szCs w:val="21"/>
        </w:rPr>
        <w:t>五、评标纪律：</w:t>
      </w:r>
    </w:p>
    <w:p w14:paraId="3596F105">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1.评标委员会成员应当按照评标原则，根据招标文件规定的评审程序、评审方法和评审标准进行评审。</w:t>
      </w:r>
    </w:p>
    <w:p w14:paraId="4D20169A">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2.与投标有利害关系的人员应当回避，不得进入评标委员会；</w:t>
      </w:r>
    </w:p>
    <w:p w14:paraId="33A090E5">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3.评标委员会成员在评标结果公告前，应对参与的评标委员会成员名单保密。</w:t>
      </w:r>
    </w:p>
    <w:p w14:paraId="70CA5D79">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4.评标委员会成员应当在评审报告上签字，对自己的评审意见承担法律责任。对评审报告有异议的，应当在评审报告上签署不同意见，并说明理由，否则视为同意评审报告。</w:t>
      </w:r>
    </w:p>
    <w:p w14:paraId="6F7DBDAC">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5.评标委员会及其成员不得有下列行为：</w:t>
      </w:r>
    </w:p>
    <w:p w14:paraId="13F2545B">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（一）确定参与评标至评标结束前私自接触投标人；</w:t>
      </w:r>
    </w:p>
    <w:p w14:paraId="7B4325C2">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（二）除投标文件中含义不明确、同类问题表述不一致或者有明显文字和计算错误的内容外，接受投 标人提出的与投标文件不一致的澄清或者说明；</w:t>
      </w:r>
    </w:p>
    <w:p w14:paraId="6B9BF242">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（三）违反评标纪律发表倾向性意见或者征询采购人的倾向性意见；</w:t>
      </w:r>
    </w:p>
    <w:p w14:paraId="2EE080BC">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（四）对需要专业判断的主观评审因素协商评分；</w:t>
      </w:r>
    </w:p>
    <w:p w14:paraId="0D6F5E04">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（五）在评标过程中擅离职守，影响评标程序正常进行的；</w:t>
      </w:r>
    </w:p>
    <w:p w14:paraId="17D6825A">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（六）记录、复制或者带走任何评标资料；</w:t>
      </w:r>
    </w:p>
    <w:p w14:paraId="561541B3">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（七）其他不遵守评标纪律的行为。</w:t>
      </w:r>
    </w:p>
    <w:p w14:paraId="7D275B9F">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评标委员会成员有前款第一至五项行为之一的，其评审意见无效。</w:t>
      </w:r>
    </w:p>
    <w:p w14:paraId="7830C5FC">
      <w:pPr>
        <w:pStyle w:val="15"/>
        <w:adjustRightInd w:val="0"/>
        <w:snapToGrid w:val="0"/>
        <w:spacing w:after="0" w:line="360" w:lineRule="auto"/>
        <w:ind w:firstLine="422" w:firstLineChars="200"/>
        <w:jc w:val="left"/>
        <w:rPr>
          <w:rFonts w:cs="宋体"/>
          <w:snapToGrid w:val="0"/>
          <w:kern w:val="0"/>
          <w:szCs w:val="21"/>
        </w:rPr>
      </w:pPr>
      <w:bookmarkStart w:id="156" w:name="_Toc10014"/>
      <w:r>
        <w:rPr>
          <w:rFonts w:hint="eastAsia" w:cs="宋体"/>
          <w:b/>
          <w:bCs/>
          <w:snapToGrid w:val="0"/>
          <w:kern w:val="0"/>
          <w:szCs w:val="21"/>
        </w:rPr>
        <w:t>六、评标标准</w:t>
      </w:r>
      <w:bookmarkEnd w:id="156"/>
    </w:p>
    <w:p w14:paraId="06A4D1E9">
      <w:pPr>
        <w:pStyle w:val="15"/>
        <w:adjustRightInd w:val="0"/>
        <w:snapToGrid w:val="0"/>
        <w:spacing w:after="0" w:line="360" w:lineRule="auto"/>
        <w:ind w:firstLine="420" w:firstLineChars="200"/>
        <w:jc w:val="left"/>
        <w:rPr>
          <w:rFonts w:cs="宋体"/>
          <w:snapToGrid w:val="0"/>
          <w:kern w:val="0"/>
          <w:szCs w:val="21"/>
        </w:rPr>
      </w:pPr>
      <w:r>
        <w:rPr>
          <w:rFonts w:hint="eastAsia" w:cs="宋体"/>
          <w:snapToGrid w:val="0"/>
          <w:kern w:val="0"/>
          <w:szCs w:val="21"/>
        </w:rPr>
        <w:t>评标委员会应当按照招标文件中规定的评标方法和标准，对符合性审查合格的投标文件进行商务和技术评估，综合比较与评价。</w:t>
      </w:r>
    </w:p>
    <w:tbl>
      <w:tblPr>
        <w:tblStyle w:val="52"/>
        <w:tblW w:w="92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368"/>
        <w:gridCol w:w="6132"/>
      </w:tblGrid>
      <w:tr w14:paraId="2FD0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1783" w:type="dxa"/>
            <w:vAlign w:val="center"/>
          </w:tcPr>
          <w:p w14:paraId="159C346E">
            <w:pPr>
              <w:adjustRightInd w:val="0"/>
              <w:snapToGrid w:val="0"/>
              <w:spacing w:beforeLines="20" w:line="360" w:lineRule="auto"/>
              <w:ind w:left="42" w:leftChars="20"/>
              <w:jc w:val="center"/>
              <w:rPr>
                <w:rFonts w:ascii="宋体" w:hAnsi="宋体" w:cs="宋体"/>
                <w:b/>
                <w:bCs/>
                <w:szCs w:val="21"/>
              </w:rPr>
            </w:pPr>
            <w:r>
              <w:rPr>
                <w:rFonts w:hint="eastAsia" w:ascii="宋体" w:hAnsi="宋体" w:cs="宋体"/>
                <w:b/>
                <w:bCs/>
                <w:szCs w:val="21"/>
              </w:rPr>
              <w:t>评标项目</w:t>
            </w:r>
          </w:p>
        </w:tc>
        <w:tc>
          <w:tcPr>
            <w:tcW w:w="1368" w:type="dxa"/>
            <w:vAlign w:val="center"/>
          </w:tcPr>
          <w:p w14:paraId="167D801F">
            <w:pPr>
              <w:adjustRightInd w:val="0"/>
              <w:snapToGrid w:val="0"/>
              <w:spacing w:beforeLines="20" w:line="360" w:lineRule="auto"/>
              <w:ind w:left="42" w:leftChars="20"/>
              <w:jc w:val="center"/>
              <w:rPr>
                <w:rFonts w:ascii="宋体" w:hAnsi="宋体" w:cs="宋体"/>
                <w:b/>
                <w:bCs/>
                <w:szCs w:val="21"/>
              </w:rPr>
            </w:pPr>
            <w:r>
              <w:rPr>
                <w:rFonts w:hint="eastAsia" w:ascii="宋体" w:hAnsi="宋体" w:cs="宋体"/>
                <w:b/>
                <w:bCs/>
                <w:szCs w:val="21"/>
              </w:rPr>
              <w:t>评标分值</w:t>
            </w:r>
          </w:p>
        </w:tc>
        <w:tc>
          <w:tcPr>
            <w:tcW w:w="6132" w:type="dxa"/>
            <w:vAlign w:val="center"/>
          </w:tcPr>
          <w:p w14:paraId="659D06D0">
            <w:pPr>
              <w:adjustRightInd w:val="0"/>
              <w:snapToGrid w:val="0"/>
              <w:spacing w:beforeLines="20" w:line="360" w:lineRule="auto"/>
              <w:ind w:left="42" w:leftChars="20"/>
              <w:jc w:val="center"/>
              <w:rPr>
                <w:rFonts w:ascii="宋体" w:hAnsi="宋体" w:cs="宋体"/>
                <w:b/>
                <w:bCs/>
                <w:szCs w:val="21"/>
              </w:rPr>
            </w:pPr>
            <w:r>
              <w:rPr>
                <w:rFonts w:hint="eastAsia" w:ascii="宋体" w:hAnsi="宋体" w:cs="宋体"/>
                <w:b/>
                <w:bCs/>
                <w:szCs w:val="21"/>
              </w:rPr>
              <w:t>评标方法描述</w:t>
            </w:r>
          </w:p>
        </w:tc>
      </w:tr>
      <w:tr w14:paraId="31CA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783" w:type="dxa"/>
            <w:vAlign w:val="center"/>
          </w:tcPr>
          <w:p w14:paraId="1F8B5A67">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报价部分（15分）</w:t>
            </w:r>
          </w:p>
        </w:tc>
        <w:tc>
          <w:tcPr>
            <w:tcW w:w="1368" w:type="dxa"/>
            <w:vAlign w:val="center"/>
          </w:tcPr>
          <w:p w14:paraId="1FC1D2EE">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投标报价</w:t>
            </w:r>
            <w:r>
              <w:rPr>
                <w:rFonts w:hint="eastAsia" w:ascii="宋体" w:hAnsi="宋体" w:cs="宋体"/>
                <w:b/>
                <w:bCs/>
                <w:szCs w:val="21"/>
              </w:rPr>
              <w:t>（管理费单价）</w:t>
            </w:r>
          </w:p>
          <w:p w14:paraId="27E1415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（15分）</w:t>
            </w:r>
          </w:p>
        </w:tc>
        <w:tc>
          <w:tcPr>
            <w:tcW w:w="6132" w:type="dxa"/>
            <w:vAlign w:val="center"/>
          </w:tcPr>
          <w:p w14:paraId="5C79D115">
            <w:pPr>
              <w:adjustRightInd w:val="0"/>
              <w:snapToGrid w:val="0"/>
              <w:spacing w:beforeLines="20" w:line="360" w:lineRule="auto"/>
              <w:ind w:left="42" w:leftChars="20"/>
              <w:rPr>
                <w:rFonts w:ascii="宋体" w:hAnsi="宋体" w:cs="宋体"/>
                <w:szCs w:val="21"/>
              </w:rPr>
            </w:pPr>
            <w:r>
              <w:rPr>
                <w:rFonts w:hint="eastAsia" w:ascii="宋体" w:hAnsi="宋体" w:cs="宋体"/>
                <w:szCs w:val="21"/>
              </w:rPr>
              <w:t>价格分统一采用低价优先法计算，即满足招标文件要求且评标价格最低的报价为评标基准价，其价格分为满分。</w:t>
            </w:r>
          </w:p>
          <w:p w14:paraId="3582389C">
            <w:pPr>
              <w:adjustRightInd w:val="0"/>
              <w:snapToGrid w:val="0"/>
              <w:spacing w:beforeLines="20" w:line="360" w:lineRule="auto"/>
              <w:ind w:left="42" w:leftChars="20"/>
              <w:rPr>
                <w:rFonts w:ascii="宋体" w:hAnsi="宋体" w:cs="宋体"/>
                <w:szCs w:val="21"/>
              </w:rPr>
            </w:pPr>
            <w:r>
              <w:rPr>
                <w:rFonts w:hint="eastAsia" w:ascii="宋体" w:hAnsi="宋体" w:cs="宋体"/>
                <w:szCs w:val="21"/>
              </w:rPr>
              <w:t>其他有效供应商的评标价格分统一按照下列公式计算：</w:t>
            </w:r>
          </w:p>
          <w:p w14:paraId="417B820E">
            <w:pPr>
              <w:adjustRightInd w:val="0"/>
              <w:snapToGrid w:val="0"/>
              <w:spacing w:beforeLines="20" w:line="360" w:lineRule="auto"/>
              <w:ind w:left="42" w:leftChars="20"/>
              <w:rPr>
                <w:rFonts w:ascii="宋体" w:hAnsi="宋体" w:cs="宋体"/>
                <w:szCs w:val="21"/>
              </w:rPr>
            </w:pPr>
            <w:r>
              <w:rPr>
                <w:rFonts w:hint="eastAsia" w:ascii="宋体" w:hAnsi="宋体" w:cs="宋体"/>
                <w:szCs w:val="21"/>
              </w:rPr>
              <w:t>投标报价得分=（评标基准价/最终评标价）×15</w:t>
            </w:r>
          </w:p>
          <w:p w14:paraId="5D385801">
            <w:pPr>
              <w:adjustRightInd w:val="0"/>
              <w:snapToGrid w:val="0"/>
              <w:spacing w:beforeLines="20" w:line="360" w:lineRule="auto"/>
              <w:ind w:left="42" w:leftChars="20"/>
              <w:rPr>
                <w:rFonts w:ascii="宋体" w:hAnsi="宋体" w:cs="宋体"/>
                <w:szCs w:val="21"/>
              </w:rPr>
            </w:pPr>
            <w:r>
              <w:rPr>
                <w:rFonts w:hint="eastAsia" w:ascii="宋体" w:hAnsi="宋体" w:cs="宋体"/>
                <w:szCs w:val="21"/>
              </w:rPr>
              <w:t>注意：</w:t>
            </w:r>
          </w:p>
          <w:p w14:paraId="6DD00A3A">
            <w:pPr>
              <w:adjustRightInd w:val="0"/>
              <w:snapToGrid w:val="0"/>
              <w:spacing w:beforeLines="20" w:line="360" w:lineRule="auto"/>
              <w:ind w:left="42" w:leftChars="20"/>
              <w:rPr>
                <w:rFonts w:ascii="宋体" w:hAnsi="宋体" w:cs="宋体"/>
                <w:b/>
                <w:bCs/>
                <w:szCs w:val="21"/>
              </w:rPr>
            </w:pPr>
            <w:r>
              <w:rPr>
                <w:rFonts w:hint="eastAsia" w:ascii="宋体" w:hAnsi="宋体" w:cs="宋体"/>
                <w:b/>
                <w:bCs/>
                <w:szCs w:val="21"/>
              </w:rPr>
              <w:t>本项目非专门面向中小企业采购，对符合要求的小型、微型企业的投标报价给予10%的价格扣除。</w:t>
            </w:r>
          </w:p>
          <w:p w14:paraId="43E4C312">
            <w:pPr>
              <w:adjustRightInd w:val="0"/>
              <w:snapToGrid w:val="0"/>
              <w:spacing w:beforeLines="20" w:line="360" w:lineRule="auto"/>
              <w:ind w:left="42" w:leftChars="20"/>
              <w:rPr>
                <w:rFonts w:ascii="宋体" w:hAnsi="宋体" w:cs="宋体"/>
                <w:szCs w:val="21"/>
              </w:rPr>
            </w:pPr>
            <w:r>
              <w:rPr>
                <w:rFonts w:hint="eastAsia" w:ascii="宋体" w:hAnsi="宋体" w:cs="宋体"/>
                <w:szCs w:val="21"/>
              </w:rPr>
              <w:t>投标人报价不得低于成本价：评标委员会认为投标人的报价明显低于其他通过初步审查投标人的报价，有可能影响服务质量或者不能诚信履约的，应当要求其在评标现场合理的时间内提供书面说明，必要时提交相关证明材料；投标人不能证明其报价合理性的或未在规定时间（30分钟）内提供的，评标委员会应当将其作无效投标处理。</w:t>
            </w:r>
          </w:p>
        </w:tc>
      </w:tr>
      <w:tr w14:paraId="7AEE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783" w:type="dxa"/>
            <w:vMerge w:val="restart"/>
            <w:vAlign w:val="center"/>
          </w:tcPr>
          <w:p w14:paraId="3CF68F1A">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商务部分</w:t>
            </w:r>
          </w:p>
          <w:p w14:paraId="48ABBA49">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（25分）</w:t>
            </w:r>
          </w:p>
        </w:tc>
        <w:tc>
          <w:tcPr>
            <w:tcW w:w="1368" w:type="dxa"/>
            <w:vAlign w:val="center"/>
          </w:tcPr>
          <w:p w14:paraId="63BD3570">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类似业绩</w:t>
            </w:r>
          </w:p>
          <w:p w14:paraId="77606F85">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（6分）</w:t>
            </w:r>
          </w:p>
        </w:tc>
        <w:tc>
          <w:tcPr>
            <w:tcW w:w="6132" w:type="dxa"/>
            <w:vAlign w:val="center"/>
          </w:tcPr>
          <w:p w14:paraId="2687C039">
            <w:pPr>
              <w:adjustRightInd w:val="0"/>
              <w:snapToGrid w:val="0"/>
              <w:spacing w:beforeLines="20" w:line="360" w:lineRule="auto"/>
              <w:ind w:left="42" w:leftChars="20"/>
              <w:rPr>
                <w:rFonts w:ascii="宋体" w:hAnsi="宋体" w:cs="宋体"/>
                <w:szCs w:val="21"/>
              </w:rPr>
            </w:pPr>
            <w:r>
              <w:rPr>
                <w:rFonts w:hint="eastAsia" w:ascii="宋体" w:hAnsi="宋体" w:cs="宋体"/>
                <w:szCs w:val="21"/>
              </w:rPr>
              <w:t>供应商自2021年1月1日以来（合同以签订日期为准）具有类似项目业绩的，每提供1份完整业绩的得2分，最高得 6 分，没有不得分。</w:t>
            </w:r>
          </w:p>
          <w:p w14:paraId="33508D23">
            <w:pPr>
              <w:adjustRightInd w:val="0"/>
              <w:snapToGrid w:val="0"/>
              <w:spacing w:beforeLines="20" w:line="360" w:lineRule="auto"/>
              <w:ind w:left="42" w:leftChars="20"/>
              <w:rPr>
                <w:rFonts w:ascii="宋体" w:hAnsi="宋体" w:cs="宋体"/>
                <w:szCs w:val="21"/>
              </w:rPr>
            </w:pPr>
            <w:r>
              <w:rPr>
                <w:rFonts w:hint="eastAsia" w:ascii="宋体" w:hAnsi="宋体" w:cs="宋体"/>
                <w:szCs w:val="21"/>
              </w:rPr>
              <w:t>类似业绩：指劳务派遣服务。</w:t>
            </w:r>
          </w:p>
          <w:p w14:paraId="5C93CC38">
            <w:pPr>
              <w:adjustRightInd w:val="0"/>
              <w:snapToGrid w:val="0"/>
              <w:spacing w:beforeLines="20" w:line="360" w:lineRule="auto"/>
              <w:ind w:left="42" w:leftChars="20"/>
              <w:rPr>
                <w:rFonts w:ascii="宋体" w:hAnsi="宋体" w:cs="宋体"/>
                <w:szCs w:val="21"/>
              </w:rPr>
            </w:pPr>
            <w:r>
              <w:rPr>
                <w:rFonts w:hint="eastAsia" w:ascii="宋体" w:hAnsi="宋体" w:cs="宋体"/>
                <w:szCs w:val="21"/>
              </w:rPr>
              <w:t>完整业绩</w:t>
            </w:r>
            <w:r>
              <w:rPr>
                <w:rFonts w:hint="eastAsia" w:ascii="宋体" w:hAnsi="宋体" w:cs="宋体"/>
                <w:szCs w:val="21"/>
                <w:lang w:eastAsia="zh-CN"/>
              </w:rPr>
              <w:t>为</w:t>
            </w:r>
            <w:r>
              <w:rPr>
                <w:rFonts w:hint="eastAsia" w:ascii="宋体" w:hAnsi="宋体" w:cs="宋体"/>
                <w:szCs w:val="21"/>
              </w:rPr>
              <w:t>中标/成交通知书+合同+转账凭证，未能提供或未按要求提供的不得分。</w:t>
            </w:r>
          </w:p>
        </w:tc>
      </w:tr>
      <w:tr w14:paraId="6C56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783" w:type="dxa"/>
            <w:vMerge w:val="continue"/>
            <w:vAlign w:val="center"/>
          </w:tcPr>
          <w:p w14:paraId="32DF9A8D">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7B1F2FED">
            <w:pPr>
              <w:adjustRightInd w:val="0"/>
              <w:snapToGrid w:val="0"/>
              <w:spacing w:beforeLines="20" w:line="360" w:lineRule="auto"/>
              <w:ind w:left="42" w:leftChars="20"/>
              <w:jc w:val="center"/>
              <w:rPr>
                <w:rFonts w:ascii="宋体" w:hAnsi="宋体" w:cs="宋体"/>
                <w:szCs w:val="21"/>
                <w:highlight w:val="none"/>
              </w:rPr>
            </w:pPr>
            <w:r>
              <w:rPr>
                <w:rFonts w:hint="eastAsia" w:ascii="宋体" w:hAnsi="宋体" w:cs="宋体"/>
                <w:szCs w:val="21"/>
                <w:highlight w:val="none"/>
              </w:rPr>
              <w:t>企业信用</w:t>
            </w:r>
          </w:p>
          <w:p w14:paraId="5778D781">
            <w:pPr>
              <w:adjustRightInd w:val="0"/>
              <w:snapToGrid w:val="0"/>
              <w:spacing w:beforeLines="20" w:line="360" w:lineRule="auto"/>
              <w:ind w:left="42" w:leftChars="20"/>
              <w:jc w:val="center"/>
              <w:rPr>
                <w:rFonts w:ascii="宋体" w:hAnsi="宋体" w:cs="宋体"/>
                <w:szCs w:val="21"/>
                <w:highlight w:val="none"/>
              </w:rPr>
            </w:pPr>
            <w:r>
              <w:rPr>
                <w:rFonts w:hint="eastAsia" w:ascii="宋体" w:hAnsi="宋体" w:cs="宋体"/>
                <w:szCs w:val="21"/>
                <w:highlight w:val="none"/>
              </w:rPr>
              <w:t>（3分）</w:t>
            </w:r>
          </w:p>
        </w:tc>
        <w:tc>
          <w:tcPr>
            <w:tcW w:w="6132" w:type="dxa"/>
            <w:vAlign w:val="center"/>
          </w:tcPr>
          <w:p w14:paraId="1DB75466">
            <w:pPr>
              <w:adjustRightInd w:val="0"/>
              <w:snapToGrid w:val="0"/>
              <w:spacing w:beforeLines="20" w:line="360" w:lineRule="auto"/>
              <w:ind w:left="42" w:leftChars="20"/>
              <w:rPr>
                <w:rFonts w:ascii="宋体" w:hAnsi="宋体" w:cs="宋体"/>
                <w:szCs w:val="21"/>
                <w:highlight w:val="none"/>
              </w:rPr>
            </w:pPr>
            <w:r>
              <w:rPr>
                <w:rFonts w:hint="eastAsia" w:ascii="宋体" w:hAnsi="宋体" w:cs="宋体"/>
                <w:szCs w:val="21"/>
                <w:highlight w:val="none"/>
              </w:rPr>
              <w:t>根据用户 2021 年 1 月 1 日至今的服务项目正面反馈意见进行评分，每提供一个单位的正面反馈意见得0.5分，最多得3分。（相同单位只计算一次，反馈意见要求有服务单位盖章）</w:t>
            </w:r>
          </w:p>
        </w:tc>
      </w:tr>
      <w:tr w14:paraId="6200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783" w:type="dxa"/>
            <w:vMerge w:val="continue"/>
            <w:vAlign w:val="center"/>
          </w:tcPr>
          <w:p w14:paraId="02B63D4E">
            <w:pPr>
              <w:adjustRightInd w:val="0"/>
              <w:snapToGrid w:val="0"/>
              <w:spacing w:beforeLines="20" w:line="360" w:lineRule="auto"/>
              <w:ind w:left="42" w:leftChars="20"/>
              <w:jc w:val="center"/>
              <w:rPr>
                <w:rFonts w:ascii="宋体" w:hAnsi="宋体" w:cs="宋体"/>
                <w:szCs w:val="21"/>
              </w:rPr>
            </w:pPr>
          </w:p>
        </w:tc>
        <w:tc>
          <w:tcPr>
            <w:tcW w:w="1368" w:type="dxa"/>
            <w:shd w:val="clear" w:color="auto" w:fill="auto"/>
            <w:vAlign w:val="center"/>
          </w:tcPr>
          <w:p w14:paraId="3892542C">
            <w:pPr>
              <w:adjustRightInd w:val="0"/>
              <w:snapToGrid w:val="0"/>
              <w:spacing w:beforeLines="20" w:line="360" w:lineRule="auto"/>
              <w:ind w:left="42" w:leftChars="20"/>
              <w:jc w:val="center"/>
              <w:rPr>
                <w:rFonts w:ascii="宋体" w:hAnsi="宋体" w:cs="宋体"/>
                <w:szCs w:val="21"/>
                <w:highlight w:val="none"/>
              </w:rPr>
            </w:pPr>
            <w:r>
              <w:rPr>
                <w:rFonts w:hint="eastAsia" w:ascii="宋体" w:hAnsi="宋体" w:cs="宋体"/>
                <w:szCs w:val="21"/>
                <w:highlight w:val="none"/>
              </w:rPr>
              <w:t>拟派人员情况（6分）</w:t>
            </w:r>
          </w:p>
        </w:tc>
        <w:tc>
          <w:tcPr>
            <w:tcW w:w="6132" w:type="dxa"/>
            <w:shd w:val="clear" w:color="auto" w:fill="auto"/>
            <w:vAlign w:val="center"/>
          </w:tcPr>
          <w:p w14:paraId="2EE3EC33">
            <w:pPr>
              <w:adjustRightInd w:val="0"/>
              <w:snapToGrid w:val="0"/>
              <w:spacing w:beforeLines="20" w:line="360" w:lineRule="auto"/>
              <w:ind w:left="42" w:leftChars="20"/>
              <w:rPr>
                <w:rFonts w:ascii="宋体" w:hAnsi="宋体" w:cs="宋体"/>
                <w:b/>
                <w:bCs/>
                <w:kern w:val="0"/>
                <w:szCs w:val="21"/>
                <w:highlight w:val="none"/>
              </w:rPr>
            </w:pPr>
            <w:r>
              <w:rPr>
                <w:rFonts w:hint="eastAsia" w:ascii="宋体" w:hAnsi="宋体" w:cs="宋体"/>
                <w:kern w:val="0"/>
                <w:szCs w:val="21"/>
                <w:highlight w:val="none"/>
              </w:rPr>
              <w:t>1、拟派管理服务人员具有大专及以上学历、具备人力资源管理师证书以及2年以上类似项目管理经验，满足以上条件，每派1人得1分，本项最多得3分，不满足以上条件不得分</w:t>
            </w:r>
            <w:r>
              <w:rPr>
                <w:rFonts w:hint="eastAsia" w:ascii="宋体" w:hAnsi="宋体" w:cs="宋体"/>
                <w:b/>
                <w:bCs/>
                <w:kern w:val="0"/>
                <w:szCs w:val="21"/>
                <w:highlight w:val="none"/>
              </w:rPr>
              <w:t>（提供人员学历证、证书、社保缴纳证明，从业经验以人力资源管理师证书取得时间为准）。</w:t>
            </w:r>
          </w:p>
          <w:p w14:paraId="0BE98EA5">
            <w:pPr>
              <w:adjustRightInd w:val="0"/>
              <w:snapToGrid w:val="0"/>
              <w:spacing w:beforeLines="20" w:line="360" w:lineRule="auto"/>
              <w:ind w:left="42" w:leftChars="2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rPr>
              <w:t>投标人拟派单位聘任的法律顾问专职负责处理本项目劳动争议、纠纷等与项目关联性法律事宜，满足条件的得3分，非专职负责得1分，没有不得分，本项最多得3分</w:t>
            </w:r>
            <w:r>
              <w:rPr>
                <w:rFonts w:hint="eastAsia" w:ascii="宋体" w:hAnsi="宋体" w:cs="宋体"/>
                <w:b/>
                <w:bCs/>
                <w:szCs w:val="21"/>
                <w:highlight w:val="none"/>
              </w:rPr>
              <w:t>（提供聘书以及聘任法律顾问人员的执业资格等相关证明材料）。</w:t>
            </w:r>
          </w:p>
        </w:tc>
      </w:tr>
      <w:tr w14:paraId="03AC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1E72F804">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45958CC5">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服务承诺（10分）</w:t>
            </w:r>
          </w:p>
        </w:tc>
        <w:tc>
          <w:tcPr>
            <w:tcW w:w="6132" w:type="dxa"/>
            <w:vAlign w:val="center"/>
          </w:tcPr>
          <w:p w14:paraId="4DA13621">
            <w:pPr>
              <w:pStyle w:val="18"/>
              <w:spacing w:line="360" w:lineRule="auto"/>
              <w:ind w:firstLine="210" w:firstLineChars="100"/>
            </w:pPr>
            <w:r>
              <w:rPr>
                <w:rFonts w:hint="eastAsia" w:ascii="宋体" w:hAnsi="宋体" w:cs="宋体"/>
                <w:szCs w:val="21"/>
              </w:rPr>
              <w:t>投标人提供详细且有针对性的服务承诺，规范劳务派遣服务运作，包括但不限于提供以下服务承诺：</w:t>
            </w:r>
          </w:p>
          <w:p w14:paraId="59568D64">
            <w:pPr>
              <w:pStyle w:val="18"/>
              <w:spacing w:line="360" w:lineRule="auto"/>
              <w:ind w:firstLine="210" w:firstLineChars="100"/>
              <w:rPr>
                <w:color w:val="C00000"/>
              </w:rPr>
            </w:pPr>
            <w:r>
              <w:rPr>
                <w:rFonts w:hint="eastAsia"/>
              </w:rPr>
              <w:t>（1）</w:t>
            </w:r>
            <w:r>
              <w:t>采购方因封账、</w:t>
            </w:r>
            <w:r>
              <w:rPr>
                <w:rFonts w:hint="eastAsia"/>
              </w:rPr>
              <w:t>节假日</w:t>
            </w:r>
            <w:r>
              <w:t>等特殊原因或其他不可抗拒因素，造成延迟结算的，投标人承诺不能因此为由，停止提供服务，得</w:t>
            </w:r>
            <w:r>
              <w:rPr>
                <w:rFonts w:hint="eastAsia"/>
              </w:rPr>
              <w:t>3</w:t>
            </w:r>
            <w:r>
              <w:t>分</w:t>
            </w:r>
            <w:r>
              <w:rPr>
                <w:rFonts w:hint="eastAsia"/>
              </w:rPr>
              <w:t>；</w:t>
            </w:r>
          </w:p>
          <w:p w14:paraId="0D172987">
            <w:pPr>
              <w:pStyle w:val="18"/>
              <w:spacing w:line="360" w:lineRule="auto"/>
              <w:ind w:firstLine="210" w:firstLineChars="100"/>
            </w:pPr>
            <w:r>
              <w:rPr>
                <w:rFonts w:hint="eastAsia"/>
              </w:rPr>
              <w:t>（2）</w:t>
            </w:r>
            <w:r>
              <w:t>遵守采购人各项规章制度，服从管理</w:t>
            </w:r>
            <w:r>
              <w:rPr>
                <w:rFonts w:hint="eastAsia"/>
              </w:rPr>
              <w:t>，</w:t>
            </w:r>
            <w:r>
              <w:t>规范运作，确保人员权益方面的承诺</w:t>
            </w:r>
            <w:r>
              <w:rPr>
                <w:rFonts w:hint="eastAsia"/>
              </w:rPr>
              <w:t>，得2分；</w:t>
            </w:r>
          </w:p>
          <w:p w14:paraId="2C9B1B9F">
            <w:pPr>
              <w:pStyle w:val="18"/>
              <w:adjustRightInd w:val="0"/>
              <w:snapToGrid w:val="0"/>
              <w:spacing w:beforeLines="20" w:line="360" w:lineRule="auto"/>
              <w:ind w:firstLine="210" w:firstLineChars="100"/>
              <w:rPr>
                <w:rFonts w:ascii="宋体" w:hAnsi="宋体" w:cs="宋体"/>
                <w:szCs w:val="21"/>
              </w:rPr>
            </w:pPr>
            <w:r>
              <w:rPr>
                <w:rFonts w:hint="eastAsia"/>
              </w:rPr>
              <w:t>（3）</w:t>
            </w:r>
            <w:r>
              <w:t>针对</w:t>
            </w:r>
            <w:r>
              <w:rPr>
                <w:rFonts w:hint="eastAsia"/>
              </w:rPr>
              <w:t>本</w:t>
            </w:r>
            <w:r>
              <w:t>项目</w:t>
            </w:r>
            <w:r>
              <w:rPr>
                <w:rFonts w:hint="eastAsia"/>
              </w:rPr>
              <w:t>提供</w:t>
            </w:r>
            <w:r>
              <w:t>切实可行、对采购人积极有利</w:t>
            </w:r>
            <w:r>
              <w:rPr>
                <w:rFonts w:hint="eastAsia"/>
              </w:rPr>
              <w:t>的</w:t>
            </w:r>
            <w:r>
              <w:t>优惠服务承诺</w:t>
            </w:r>
            <w:r>
              <w:rPr>
                <w:rFonts w:hint="eastAsia"/>
              </w:rPr>
              <w:t>：优惠承诺能</w:t>
            </w:r>
            <w:r>
              <w:t>节约采购人资金或提高效益</w:t>
            </w:r>
            <w:r>
              <w:rPr>
                <w:rFonts w:hint="eastAsia"/>
              </w:rPr>
              <w:t>的</w:t>
            </w:r>
            <w:r>
              <w:t>，</w:t>
            </w:r>
            <w:r>
              <w:rPr>
                <w:rFonts w:hint="eastAsia"/>
              </w:rPr>
              <w:t>得5分，</w:t>
            </w:r>
            <w:r>
              <w:t>优惠承诺</w:t>
            </w:r>
            <w:r>
              <w:rPr>
                <w:rFonts w:hint="eastAsia"/>
              </w:rPr>
              <w:t>有</w:t>
            </w:r>
            <w:r>
              <w:t>合理</w:t>
            </w:r>
            <w:r>
              <w:rPr>
                <w:rFonts w:hint="eastAsia"/>
              </w:rPr>
              <w:t>性</w:t>
            </w:r>
            <w:r>
              <w:t>、可行、部分满足采购人相关利益</w:t>
            </w:r>
            <w:r>
              <w:rPr>
                <w:rFonts w:hint="eastAsia"/>
              </w:rPr>
              <w:t>的，</w:t>
            </w:r>
            <w:r>
              <w:t>得3分，优惠承诺针对性不强</w:t>
            </w:r>
            <w:r>
              <w:rPr>
                <w:rFonts w:hint="eastAsia"/>
              </w:rPr>
              <w:t>，</w:t>
            </w:r>
            <w:r>
              <w:t>得1分。</w:t>
            </w:r>
            <w:r>
              <w:rPr>
                <w:rFonts w:hint="eastAsia" w:ascii="宋体" w:hAnsi="宋体" w:cs="宋体"/>
                <w:szCs w:val="21"/>
              </w:rPr>
              <w:t>承诺不合理、不科学、不完善，且没有实质性承诺的或承诺与本项目毫无相关的得0分。</w:t>
            </w:r>
          </w:p>
        </w:tc>
      </w:tr>
      <w:tr w14:paraId="1044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restart"/>
            <w:vAlign w:val="center"/>
          </w:tcPr>
          <w:p w14:paraId="5C5F432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技术部分</w:t>
            </w:r>
          </w:p>
          <w:p w14:paraId="53B15AC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（60分）</w:t>
            </w:r>
          </w:p>
        </w:tc>
        <w:tc>
          <w:tcPr>
            <w:tcW w:w="1368" w:type="dxa"/>
            <w:vAlign w:val="center"/>
          </w:tcPr>
          <w:p w14:paraId="2D9CD9DE">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1、项目服务方案（12分）</w:t>
            </w:r>
          </w:p>
        </w:tc>
        <w:tc>
          <w:tcPr>
            <w:tcW w:w="6132" w:type="dxa"/>
            <w:vAlign w:val="center"/>
          </w:tcPr>
          <w:p w14:paraId="74D08432">
            <w:pPr>
              <w:adjustRightInd w:val="0"/>
              <w:snapToGrid w:val="0"/>
              <w:spacing w:beforeLines="20" w:line="360" w:lineRule="auto"/>
              <w:ind w:left="42" w:leftChars="20"/>
              <w:rPr>
                <w:rFonts w:ascii="宋体" w:hAnsi="宋体" w:cs="宋体"/>
                <w:szCs w:val="21"/>
              </w:rPr>
            </w:pPr>
            <w:r>
              <w:rPr>
                <w:rFonts w:hint="eastAsia" w:ascii="宋体" w:hAnsi="宋体" w:cs="宋体"/>
                <w:szCs w:val="21"/>
              </w:rPr>
              <w:t>根据供应商的项目服务方案内容，有针对特性的项目服务计划和服务要求及内容。根据供应商对项目需求的理解程度，能够结合业务对项目目标及内容展开详细和透彻的分析，体现工作机制高效等方面，服务流程清晰，满足医院医疗工作的正常进行，根据①服务质量标准②服务管理制度③服务响应速度及问题处理时效内容进行综合评分：</w:t>
            </w:r>
          </w:p>
          <w:p w14:paraId="7CFB69E7">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提供方案内容均进行详细阐述且上述内容全部满足项目需求，得 12 分；</w:t>
            </w:r>
          </w:p>
          <w:p w14:paraId="4AB77766">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提供相关方案基本贴合项目实际情况进行论述，或内容中基本包括具体实施细节及措施且上述内容完全满足，得 8 分；</w:t>
            </w:r>
          </w:p>
          <w:p w14:paraId="3119CBE4">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提供相关方案但未贴合项目实际情况进行论述，或内容中未包括具体实施细节及措施且上述内容不完全满足，得 4 分；</w:t>
            </w:r>
          </w:p>
          <w:p w14:paraId="78E1BFEE">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方案内容不符合项目实际情况且未提供具体实施细节及措施，上述内容不满足，得1分；</w:t>
            </w:r>
          </w:p>
          <w:p w14:paraId="4383670E">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1B34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5445455F">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341E09C0">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2、人员招聘方案（6分）</w:t>
            </w:r>
          </w:p>
        </w:tc>
        <w:tc>
          <w:tcPr>
            <w:tcW w:w="6132" w:type="dxa"/>
            <w:vAlign w:val="center"/>
          </w:tcPr>
          <w:p w14:paraId="4A13A1FA">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人员招聘方案内容齐全、有针对性，有专人负责招聘工作，合理可行的，得6分；</w:t>
            </w:r>
          </w:p>
          <w:p w14:paraId="0C0BF3A5">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人员招聘方案内容较为齐全、针对性较强，比较合理可行的，得4 分；</w:t>
            </w:r>
          </w:p>
          <w:p w14:paraId="234ADC38">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人员招聘方案内容一般、针对性不强的，得2分；</w:t>
            </w:r>
          </w:p>
          <w:p w14:paraId="01B2D4A9">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0A8B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4561587F">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54451D13">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3、人员调配方案（6分）</w:t>
            </w:r>
          </w:p>
        </w:tc>
        <w:tc>
          <w:tcPr>
            <w:tcW w:w="6132" w:type="dxa"/>
            <w:vAlign w:val="center"/>
          </w:tcPr>
          <w:p w14:paraId="3D4E0FE3">
            <w:pPr>
              <w:adjustRightInd w:val="0"/>
              <w:snapToGrid w:val="0"/>
              <w:spacing w:beforeLines="20" w:line="360" w:lineRule="auto"/>
              <w:ind w:left="42" w:leftChars="20"/>
              <w:rPr>
                <w:rFonts w:ascii="宋体" w:hAnsi="宋体" w:cs="宋体"/>
                <w:szCs w:val="21"/>
              </w:rPr>
            </w:pPr>
            <w:r>
              <w:rPr>
                <w:rFonts w:hint="eastAsia" w:ascii="宋体" w:hAnsi="宋体" w:cs="宋体"/>
                <w:szCs w:val="21"/>
              </w:rPr>
              <w:t>人员调配方案（含承诺及时派遣到位的、针对派遣人员离职有应急及补救方案）：</w:t>
            </w:r>
          </w:p>
          <w:p w14:paraId="512BE2B9">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方案合理、科学并有完善的保证措施，能够与本项目要求完全贴合有利于采购人完善劳务派遣服务计划任务的，得6分；</w:t>
            </w:r>
          </w:p>
          <w:p w14:paraId="75CDDBC1">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方案较合理、科学，保证措施较完善，较能够与本项目要求贴合的，得4分；</w:t>
            </w:r>
          </w:p>
          <w:p w14:paraId="1A825BDB">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方案合理性及科学性一般，个别需优化才能与本项目要求基本贴合的，得2分；</w:t>
            </w:r>
          </w:p>
          <w:p w14:paraId="443555E4">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4126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21D39ECE">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431430EC">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4、日常管理方案（6分）</w:t>
            </w:r>
          </w:p>
        </w:tc>
        <w:tc>
          <w:tcPr>
            <w:tcW w:w="6132" w:type="dxa"/>
            <w:vAlign w:val="center"/>
          </w:tcPr>
          <w:p w14:paraId="2747F6F5">
            <w:pPr>
              <w:adjustRightInd w:val="0"/>
              <w:snapToGrid w:val="0"/>
              <w:spacing w:beforeLines="20" w:line="360" w:lineRule="auto"/>
              <w:ind w:left="42" w:leftChars="20"/>
              <w:rPr>
                <w:rFonts w:ascii="宋体" w:hAnsi="宋体" w:cs="宋体"/>
                <w:szCs w:val="21"/>
              </w:rPr>
            </w:pPr>
            <w:r>
              <w:rPr>
                <w:rFonts w:hint="eastAsia" w:ascii="宋体" w:hAnsi="宋体" w:cs="宋体"/>
                <w:szCs w:val="21"/>
              </w:rPr>
              <w:t>日常管理方案（含人员安排、人员交接以及工作流程）：</w:t>
            </w:r>
          </w:p>
          <w:p w14:paraId="05243ADA">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方案合理、科学并有完善的保证措施，能够与本项目要求完全贴合有利于采购人完善劳务派遣服务计划任务的得6分；</w:t>
            </w:r>
          </w:p>
          <w:p w14:paraId="58997B5D">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方案较合理、科学，保证措施较完善，较能够与本项目要求完全贴合的得4分；</w:t>
            </w:r>
          </w:p>
          <w:p w14:paraId="34D3FCAA">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 xml:space="preserve">方案合理性及科学性一般，个别需优化才能与本项目要求基本贴合的，得 2分； </w:t>
            </w:r>
          </w:p>
          <w:p w14:paraId="73544237">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6B5C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01A14A8A">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74926F7C">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5、人员培训方案（4分）</w:t>
            </w:r>
          </w:p>
        </w:tc>
        <w:tc>
          <w:tcPr>
            <w:tcW w:w="6132" w:type="dxa"/>
            <w:vAlign w:val="center"/>
          </w:tcPr>
          <w:p w14:paraId="5BB92A32">
            <w:pPr>
              <w:adjustRightInd w:val="0"/>
              <w:snapToGrid w:val="0"/>
              <w:spacing w:beforeLines="20" w:line="360" w:lineRule="auto"/>
              <w:ind w:left="42" w:leftChars="20"/>
              <w:rPr>
                <w:rFonts w:ascii="宋体" w:hAnsi="宋体" w:cs="宋体"/>
                <w:szCs w:val="21"/>
              </w:rPr>
            </w:pPr>
            <w:r>
              <w:rPr>
                <w:rFonts w:hint="eastAsia" w:ascii="宋体" w:hAnsi="宋体" w:cs="宋体"/>
                <w:szCs w:val="21"/>
              </w:rPr>
              <w:t>人员培训方案（包括培训内容，岗位标准、专业知识、职业道德规范）：</w:t>
            </w:r>
          </w:p>
          <w:p w14:paraId="50175634">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方案合理、科学并有完善的保证措施，能够与本项目要求完全贴合有利于采购人完善劳务派遣服务计划任务的得4分；</w:t>
            </w:r>
          </w:p>
          <w:p w14:paraId="56A7627F">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方案较合理、科学，保证措施较完善，较能够与本项目要求完全贴合的得3 分；</w:t>
            </w:r>
          </w:p>
          <w:p w14:paraId="47A94BDC">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 xml:space="preserve">方案合理性及科学性一般，个别需优化才能与本项目要求基本贴合的，得 2 分； </w:t>
            </w:r>
          </w:p>
          <w:p w14:paraId="15A198BF">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7064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218FE0D1">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477E182E">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6、工资发放制度（6分）</w:t>
            </w:r>
          </w:p>
        </w:tc>
        <w:tc>
          <w:tcPr>
            <w:tcW w:w="6132" w:type="dxa"/>
            <w:vAlign w:val="center"/>
          </w:tcPr>
          <w:p w14:paraId="445E12F0">
            <w:pPr>
              <w:adjustRightInd w:val="0"/>
              <w:snapToGrid w:val="0"/>
              <w:spacing w:beforeLines="20" w:line="360" w:lineRule="auto"/>
              <w:ind w:left="42" w:leftChars="20"/>
              <w:rPr>
                <w:rFonts w:ascii="宋体" w:hAnsi="宋体" w:cs="宋体"/>
                <w:szCs w:val="21"/>
              </w:rPr>
            </w:pPr>
            <w:r>
              <w:rPr>
                <w:rFonts w:hint="eastAsia" w:ascii="宋体" w:hAnsi="宋体" w:cs="宋体"/>
                <w:szCs w:val="21"/>
              </w:rPr>
              <w:t>工资发放制度（各项工作制度、岗位责任制度、考核监督制度等、条例规范等）：</w:t>
            </w:r>
          </w:p>
          <w:p w14:paraId="2E3FDBFF">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各项规章制度内容齐全、有针对性，科学合理、制度健全的得6分；</w:t>
            </w:r>
          </w:p>
          <w:p w14:paraId="40E6A7DC">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 xml:space="preserve">各项规章制度较齐全、合理，具有针对性的得4分； </w:t>
            </w:r>
          </w:p>
          <w:p w14:paraId="31918319">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各项规章较、针对性一般的，得2分；</w:t>
            </w:r>
          </w:p>
          <w:p w14:paraId="44D37590">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289B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665B86BE">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1E487FB2">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7、内部考核机制（6分）</w:t>
            </w:r>
          </w:p>
        </w:tc>
        <w:tc>
          <w:tcPr>
            <w:tcW w:w="6132" w:type="dxa"/>
            <w:vAlign w:val="center"/>
          </w:tcPr>
          <w:p w14:paraId="4F0DE30D">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考核计划、方式、内容、目标明确齐全、科学可行的得 6 分；</w:t>
            </w:r>
          </w:p>
          <w:p w14:paraId="0C54C299">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 xml:space="preserve">考核计划、方式、内容、目标基本齐全、合理的得4分； </w:t>
            </w:r>
          </w:p>
          <w:p w14:paraId="367DFB11">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 xml:space="preserve">考核计划、方式、内容、目标基本齐全，合理性一般的，得2分； </w:t>
            </w:r>
          </w:p>
          <w:p w14:paraId="59468E5D">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29C3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4891E7AA">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703B836B">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8、福利保障方案（6分）</w:t>
            </w:r>
          </w:p>
        </w:tc>
        <w:tc>
          <w:tcPr>
            <w:tcW w:w="6132" w:type="dxa"/>
            <w:vAlign w:val="center"/>
          </w:tcPr>
          <w:p w14:paraId="600534E1">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福利保障方案合理、科学并有完善的保证措施，能够与本项目要求完全贴合有利于采购人完善劳务派遣服务计划任务的得6分；</w:t>
            </w:r>
          </w:p>
          <w:p w14:paraId="56FFF075">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方案较合理、科学，保证措施较完善，较能够与本项目要求完全贴合的得4分；</w:t>
            </w:r>
          </w:p>
          <w:p w14:paraId="11D2403A">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 xml:space="preserve">方案合理性及科学性一般，个别需优化才能与本项目要求基本贴合的，得2分； </w:t>
            </w:r>
          </w:p>
          <w:p w14:paraId="1C772EF4">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r w14:paraId="786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83" w:type="dxa"/>
            <w:vMerge w:val="continue"/>
            <w:vAlign w:val="center"/>
          </w:tcPr>
          <w:p w14:paraId="2613C1D5">
            <w:pPr>
              <w:adjustRightInd w:val="0"/>
              <w:snapToGrid w:val="0"/>
              <w:spacing w:beforeLines="20" w:line="360" w:lineRule="auto"/>
              <w:ind w:left="42" w:leftChars="20"/>
              <w:jc w:val="center"/>
              <w:rPr>
                <w:rFonts w:ascii="宋体" w:hAnsi="宋体" w:cs="宋体"/>
                <w:szCs w:val="21"/>
              </w:rPr>
            </w:pPr>
          </w:p>
        </w:tc>
        <w:tc>
          <w:tcPr>
            <w:tcW w:w="1368" w:type="dxa"/>
            <w:vAlign w:val="center"/>
          </w:tcPr>
          <w:p w14:paraId="1D2127CD">
            <w:pPr>
              <w:adjustRightInd w:val="0"/>
              <w:snapToGrid w:val="0"/>
              <w:spacing w:beforeLines="20" w:line="360" w:lineRule="auto"/>
              <w:ind w:left="42" w:leftChars="20"/>
              <w:jc w:val="center"/>
              <w:rPr>
                <w:rFonts w:ascii="宋体" w:hAnsi="宋体" w:cs="宋体"/>
                <w:szCs w:val="21"/>
              </w:rPr>
            </w:pPr>
            <w:r>
              <w:rPr>
                <w:rFonts w:hint="eastAsia" w:ascii="宋体" w:hAnsi="宋体" w:cs="宋体"/>
                <w:szCs w:val="21"/>
              </w:rPr>
              <w:t>9、应急方案（8分）</w:t>
            </w:r>
          </w:p>
        </w:tc>
        <w:tc>
          <w:tcPr>
            <w:tcW w:w="6132" w:type="dxa"/>
            <w:vAlign w:val="center"/>
          </w:tcPr>
          <w:p w14:paraId="14612E61">
            <w:pPr>
              <w:adjustRightInd w:val="0"/>
              <w:snapToGrid w:val="0"/>
              <w:spacing w:beforeLines="20" w:line="360" w:lineRule="auto"/>
              <w:ind w:left="42" w:leftChars="20"/>
              <w:rPr>
                <w:rFonts w:ascii="宋体" w:hAnsi="宋体" w:cs="宋体"/>
                <w:szCs w:val="21"/>
              </w:rPr>
            </w:pPr>
            <w:r>
              <w:rPr>
                <w:rFonts w:hint="eastAsia" w:ascii="宋体" w:hAnsi="宋体" w:cs="宋体"/>
                <w:szCs w:val="21"/>
              </w:rPr>
              <w:t>对可能出现的突发紧急事件（如：劳动纠纷、劳动仲裁、诉讼以及涉及派遣员工的其它突发事件）：</w:t>
            </w:r>
          </w:p>
          <w:p w14:paraId="31DC3626">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对突发紧急事件预见全面，应对措施科学且控制措施具体可行的得8分；</w:t>
            </w:r>
          </w:p>
          <w:p w14:paraId="6B1F01CF">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对可能出现的突发紧急事件预见较全面及应对措施较科学、响应能力较强的得5分；</w:t>
            </w:r>
          </w:p>
          <w:p w14:paraId="4F905EAD">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对可能出现的突发紧急事件预见不充分及应对措施科学性一般，响应能力较弱的得3分；</w:t>
            </w:r>
          </w:p>
          <w:p w14:paraId="400FF9D4">
            <w:pPr>
              <w:adjustRightInd w:val="0"/>
              <w:snapToGrid w:val="0"/>
              <w:spacing w:beforeLines="20" w:line="360" w:lineRule="auto"/>
              <w:ind w:left="42" w:leftChars="20" w:firstLine="375" w:firstLineChars="179"/>
              <w:rPr>
                <w:rFonts w:ascii="宋体" w:hAnsi="宋体" w:cs="宋体"/>
                <w:szCs w:val="21"/>
              </w:rPr>
            </w:pPr>
            <w:r>
              <w:rPr>
                <w:rFonts w:hint="eastAsia" w:ascii="宋体" w:hAnsi="宋体" w:cs="宋体"/>
                <w:szCs w:val="21"/>
              </w:rPr>
              <w:t>若缺项得0分。</w:t>
            </w:r>
          </w:p>
        </w:tc>
      </w:tr>
    </w:tbl>
    <w:p w14:paraId="012DBB24">
      <w:pPr>
        <w:wordWrap w:val="0"/>
        <w:adjustRightInd w:val="0"/>
        <w:snapToGrid w:val="0"/>
        <w:spacing w:line="360" w:lineRule="auto"/>
        <w:ind w:firstLine="420" w:firstLineChars="200"/>
        <w:rPr>
          <w:rFonts w:ascii="宋体" w:hAnsi="宋体"/>
          <w:bCs/>
          <w:szCs w:val="21"/>
        </w:rPr>
      </w:pPr>
    </w:p>
    <w:p w14:paraId="21CA23E2">
      <w:pPr>
        <w:wordWrap w:val="0"/>
        <w:adjustRightInd w:val="0"/>
        <w:snapToGrid w:val="0"/>
        <w:spacing w:line="360" w:lineRule="auto"/>
        <w:ind w:firstLine="420" w:firstLineChars="200"/>
        <w:rPr>
          <w:rFonts w:ascii="宋体" w:hAnsi="宋体"/>
          <w:bCs/>
          <w:szCs w:val="21"/>
        </w:rPr>
      </w:pPr>
      <w:r>
        <w:rPr>
          <w:rFonts w:hint="eastAsia" w:ascii="宋体" w:hAnsi="宋体"/>
          <w:bCs/>
          <w:szCs w:val="21"/>
        </w:rPr>
        <w:t>各评委按照评标因素对供应商分别进行独立评审打分，取所有评委打分分数的算术平均值作为该供应商的各项得分，计算结果保留2位小数，第3位四舍五入。各评标因素得分相加为该供应商的最终得分。</w:t>
      </w:r>
    </w:p>
    <w:p w14:paraId="7A1F2DA1">
      <w:pPr>
        <w:wordWrap w:val="0"/>
        <w:adjustRightInd w:val="0"/>
        <w:snapToGrid w:val="0"/>
        <w:spacing w:before="100" w:beforeAutospacing="1" w:after="100" w:afterAutospacing="1"/>
        <w:jc w:val="center"/>
        <w:outlineLvl w:val="0"/>
        <w:rPr>
          <w:rFonts w:ascii="宋体" w:hAnsi="宋体"/>
          <w:b/>
          <w:bCs/>
          <w:sz w:val="32"/>
          <w:szCs w:val="32"/>
        </w:rPr>
      </w:pPr>
      <w:r>
        <w:rPr>
          <w:rFonts w:ascii="宋体" w:hAnsi="宋体"/>
          <w:b/>
          <w:szCs w:val="21"/>
        </w:rPr>
        <w:br w:type="page"/>
      </w:r>
      <w:bookmarkStart w:id="157" w:name="_Toc9364"/>
      <w:bookmarkStart w:id="158" w:name="_Toc19884"/>
      <w:bookmarkStart w:id="159" w:name="_Toc8868"/>
      <w:bookmarkStart w:id="160" w:name="_Toc28901"/>
      <w:bookmarkStart w:id="161" w:name="_Toc32835833"/>
      <w:bookmarkStart w:id="162" w:name="_Toc15703"/>
      <w:r>
        <w:rPr>
          <w:rFonts w:hint="eastAsia" w:ascii="宋体" w:hAnsi="宋体"/>
          <w:b/>
          <w:bCs/>
          <w:sz w:val="32"/>
          <w:szCs w:val="32"/>
        </w:rPr>
        <w:t>第四章  合同协议书（格式）</w:t>
      </w:r>
      <w:bookmarkEnd w:id="59"/>
      <w:bookmarkEnd w:id="157"/>
      <w:bookmarkEnd w:id="158"/>
      <w:bookmarkEnd w:id="159"/>
      <w:bookmarkEnd w:id="160"/>
      <w:bookmarkEnd w:id="161"/>
      <w:bookmarkEnd w:id="162"/>
    </w:p>
    <w:p w14:paraId="3FF0C290">
      <w:pPr>
        <w:wordWrap w:val="0"/>
        <w:jc w:val="center"/>
        <w:rPr>
          <w:rFonts w:ascii="宋体" w:hAnsi="宋体"/>
          <w:bCs/>
          <w:sz w:val="22"/>
          <w:szCs w:val="15"/>
        </w:rPr>
      </w:pPr>
      <w:r>
        <w:rPr>
          <w:rFonts w:hint="eastAsia" w:ascii="宋体" w:hAnsi="宋体"/>
          <w:bCs/>
          <w:sz w:val="22"/>
          <w:szCs w:val="15"/>
        </w:rPr>
        <w:t>（以签订正式合同为准）</w:t>
      </w:r>
    </w:p>
    <w:p w14:paraId="11C5DA49">
      <w:pPr>
        <w:autoSpaceDE w:val="0"/>
        <w:autoSpaceDN w:val="0"/>
        <w:spacing w:before="11" w:line="520" w:lineRule="atLeast"/>
        <w:jc w:val="center"/>
        <w:rPr>
          <w:rFonts w:ascii="宋体" w:hAnsi="宋体" w:cs="宋体"/>
          <w:b/>
          <w:kern w:val="0"/>
          <w:sz w:val="36"/>
          <w:szCs w:val="28"/>
          <w:lang w:bidi="zh-CN"/>
        </w:rPr>
      </w:pPr>
      <w:r>
        <w:rPr>
          <w:rFonts w:hint="eastAsia" w:ascii="宋体" w:hAnsi="宋体" w:cs="宋体"/>
          <w:b/>
          <w:kern w:val="0"/>
          <w:sz w:val="36"/>
          <w:szCs w:val="28"/>
          <w:lang w:bidi="zh-CN"/>
        </w:rPr>
        <w:t>劳务派遣合同书</w:t>
      </w:r>
    </w:p>
    <w:p w14:paraId="37297133">
      <w:pPr>
        <w:spacing w:line="520" w:lineRule="atLeast"/>
        <w:ind w:firstLine="420" w:firstLineChars="200"/>
        <w:rPr>
          <w:rFonts w:ascii="宋体" w:hAnsi="宋体" w:cs="宋体"/>
          <w:szCs w:val="28"/>
        </w:rPr>
      </w:pPr>
    </w:p>
    <w:p w14:paraId="677BEDB5">
      <w:pPr>
        <w:spacing w:line="520" w:lineRule="atLeast"/>
        <w:ind w:firstLine="422" w:firstLineChars="200"/>
        <w:rPr>
          <w:rFonts w:ascii="宋体" w:hAnsi="宋体" w:cs="宋体"/>
          <w:b/>
          <w:bCs/>
          <w:szCs w:val="21"/>
          <w:u w:val="single"/>
        </w:rPr>
      </w:pPr>
      <w:r>
        <w:rPr>
          <w:rFonts w:hint="eastAsia" w:ascii="宋体" w:hAnsi="宋体" w:cs="宋体"/>
          <w:b/>
          <w:bCs/>
          <w:szCs w:val="21"/>
        </w:rPr>
        <w:t>甲方（用工单位）：</w:t>
      </w:r>
      <w:r>
        <w:rPr>
          <w:rFonts w:hint="eastAsia" w:ascii="宋体" w:hAnsi="宋体" w:cs="宋体"/>
          <w:b/>
          <w:bCs/>
          <w:szCs w:val="21"/>
          <w:u w:val="single"/>
        </w:rPr>
        <w:t xml:space="preserve">                               </w:t>
      </w:r>
    </w:p>
    <w:p w14:paraId="08681538">
      <w:pPr>
        <w:spacing w:line="520" w:lineRule="atLeast"/>
        <w:ind w:firstLine="422" w:firstLineChars="200"/>
        <w:rPr>
          <w:rFonts w:ascii="宋体" w:hAnsi="宋体" w:cs="宋体"/>
          <w:b/>
          <w:bCs/>
          <w:szCs w:val="21"/>
          <w:u w:val="single"/>
        </w:rPr>
      </w:pPr>
      <w:r>
        <w:rPr>
          <w:rFonts w:hint="eastAsia" w:ascii="宋体" w:hAnsi="宋体" w:cs="宋体"/>
          <w:b/>
          <w:bCs/>
          <w:szCs w:val="21"/>
        </w:rPr>
        <w:t>乙方（派遣机构）：</w:t>
      </w:r>
      <w:r>
        <w:rPr>
          <w:rFonts w:hint="eastAsia" w:ascii="宋体" w:hAnsi="宋体" w:cs="宋体"/>
          <w:b/>
          <w:bCs/>
          <w:szCs w:val="21"/>
          <w:u w:val="single"/>
        </w:rPr>
        <w:t xml:space="preserve">                               </w:t>
      </w:r>
    </w:p>
    <w:p w14:paraId="2DDF5FBA">
      <w:pPr>
        <w:spacing w:line="520" w:lineRule="atLeast"/>
        <w:ind w:firstLine="420" w:firstLineChars="200"/>
        <w:rPr>
          <w:rFonts w:ascii="宋体" w:hAnsi="宋体" w:cs="宋体"/>
          <w:szCs w:val="21"/>
        </w:rPr>
      </w:pPr>
      <w:r>
        <w:rPr>
          <w:rFonts w:hint="eastAsia" w:ascii="宋体" w:hAnsi="宋体" w:cs="宋体"/>
          <w:szCs w:val="21"/>
        </w:rPr>
        <w:t>根据《中华人民共和国劳动法》《中华人民共和国劳动合同法》《劳务派遣暂行规定》及相关法律、法规、政策的规定，遵循平等、自愿、公平和诚实信用的原则，双方就</w:t>
      </w:r>
      <w:r>
        <w:rPr>
          <w:rFonts w:hint="eastAsia" w:ascii="宋体" w:hAnsi="宋体" w:cs="宋体"/>
          <w:szCs w:val="21"/>
          <w:u w:val="single"/>
        </w:rPr>
        <w:t>劳务</w:t>
      </w:r>
      <w:r>
        <w:rPr>
          <w:rFonts w:hint="eastAsia" w:ascii="宋体" w:hAnsi="宋体" w:cs="宋体"/>
          <w:szCs w:val="21"/>
          <w:u w:val="single"/>
          <w:lang w:eastAsia="zh-CN"/>
        </w:rPr>
        <w:t>派遣</w:t>
      </w:r>
      <w:r>
        <w:rPr>
          <w:rFonts w:hint="eastAsia" w:ascii="宋体" w:hAnsi="宋体" w:cs="宋体"/>
          <w:szCs w:val="21"/>
          <w:u w:val="single"/>
        </w:rPr>
        <w:t>服务采购项目</w:t>
      </w:r>
      <w:r>
        <w:rPr>
          <w:rFonts w:hint="eastAsia" w:ascii="宋体" w:hAnsi="宋体" w:cs="宋体"/>
          <w:szCs w:val="21"/>
        </w:rPr>
        <w:t>及有关事项协商一致达成以下协议,并共同遵守。</w:t>
      </w:r>
    </w:p>
    <w:p w14:paraId="1561CCA2">
      <w:pPr>
        <w:spacing w:line="520" w:lineRule="atLeast"/>
        <w:ind w:firstLine="422" w:firstLineChars="200"/>
        <w:rPr>
          <w:rFonts w:hint="eastAsia" w:ascii="宋体" w:hAnsi="宋体" w:cs="宋体"/>
          <w:b/>
          <w:bCs/>
          <w:kern w:val="0"/>
          <w:szCs w:val="21"/>
          <w:lang w:val="zh-CN" w:eastAsia="zh-CN" w:bidi="zh-CN"/>
        </w:rPr>
      </w:pPr>
      <w:r>
        <w:rPr>
          <w:rFonts w:hint="eastAsia" w:ascii="宋体" w:hAnsi="宋体" w:cs="宋体"/>
          <w:b/>
          <w:bCs/>
          <w:kern w:val="0"/>
          <w:szCs w:val="21"/>
          <w:lang w:val="zh-CN" w:bidi="zh-CN"/>
        </w:rPr>
        <w:t xml:space="preserve">第一条  </w:t>
      </w:r>
      <w:r>
        <w:rPr>
          <w:rFonts w:hint="eastAsia" w:ascii="宋体" w:hAnsi="宋体" w:cs="宋体"/>
          <w:b/>
          <w:bCs/>
          <w:kern w:val="0"/>
          <w:szCs w:val="21"/>
          <w:lang w:val="zh-CN" w:eastAsia="zh-CN" w:bidi="zh-CN"/>
        </w:rPr>
        <w:t>协议期限</w:t>
      </w:r>
    </w:p>
    <w:p w14:paraId="0BB65317">
      <w:pPr>
        <w:spacing w:line="520" w:lineRule="atLeast"/>
        <w:ind w:firstLine="420" w:firstLineChars="200"/>
        <w:rPr>
          <w:rFonts w:ascii="宋体" w:hAnsi="宋体" w:cs="宋体"/>
          <w:szCs w:val="21"/>
          <w:highlight w:val="none"/>
        </w:rPr>
      </w:pPr>
      <w:r>
        <w:rPr>
          <w:rFonts w:hint="eastAsia" w:ascii="宋体" w:hAnsi="宋体" w:cs="宋体"/>
          <w:szCs w:val="21"/>
        </w:rPr>
        <w:t>本协</w:t>
      </w:r>
      <w:r>
        <w:rPr>
          <w:rFonts w:hint="eastAsia" w:ascii="宋体" w:hAnsi="宋体" w:cs="宋体"/>
          <w:szCs w:val="21"/>
          <w:highlight w:val="none"/>
        </w:rPr>
        <w:t>议自      年    月    日起生效,至       年    月    日终止（协议期限为 3 年)。采取1+1+1方式，按年度签订合同，下一年合同签订提前 30 天，双方根据上一年度的服务和综合评定情况协商确定是否续签。</w:t>
      </w:r>
    </w:p>
    <w:p w14:paraId="1725C686">
      <w:pPr>
        <w:spacing w:line="520" w:lineRule="atLeast"/>
        <w:ind w:firstLine="422" w:firstLineChars="200"/>
        <w:rPr>
          <w:rFonts w:ascii="宋体" w:hAnsi="宋体" w:cs="宋体"/>
          <w:b/>
          <w:bCs/>
          <w:kern w:val="0"/>
          <w:szCs w:val="21"/>
          <w:highlight w:val="none"/>
          <w:lang w:val="zh-CN" w:bidi="zh-CN"/>
        </w:rPr>
      </w:pPr>
      <w:r>
        <w:rPr>
          <w:rFonts w:hint="eastAsia" w:ascii="宋体" w:hAnsi="宋体" w:cs="宋体"/>
          <w:b/>
          <w:bCs/>
          <w:kern w:val="0"/>
          <w:szCs w:val="21"/>
          <w:highlight w:val="none"/>
          <w:lang w:val="zh-CN" w:bidi="zh-CN"/>
        </w:rPr>
        <w:t>第二条</w:t>
      </w:r>
      <w:r>
        <w:rPr>
          <w:rFonts w:hint="eastAsia" w:ascii="宋体" w:hAnsi="宋体" w:cs="宋体"/>
          <w:b/>
          <w:bCs/>
          <w:kern w:val="0"/>
          <w:szCs w:val="21"/>
          <w:highlight w:val="none"/>
          <w:lang w:val="en-US" w:eastAsia="zh-CN" w:bidi="zh-CN"/>
        </w:rPr>
        <w:t xml:space="preserve">  </w:t>
      </w:r>
      <w:r>
        <w:rPr>
          <w:rFonts w:hint="eastAsia" w:ascii="宋体" w:hAnsi="宋体" w:cs="宋体"/>
          <w:b/>
          <w:bCs/>
          <w:kern w:val="0"/>
          <w:szCs w:val="21"/>
          <w:highlight w:val="none"/>
          <w:lang w:val="zh-CN" w:bidi="zh-CN"/>
        </w:rPr>
        <w:t>劳务服务项目内容</w:t>
      </w:r>
    </w:p>
    <w:p w14:paraId="301B7849">
      <w:pPr>
        <w:spacing w:line="520" w:lineRule="atLeast"/>
        <w:ind w:firstLine="420" w:firstLineChars="200"/>
        <w:rPr>
          <w:rFonts w:ascii="宋体" w:hAnsi="宋体" w:cs="宋体"/>
          <w:szCs w:val="21"/>
          <w:highlight w:val="none"/>
        </w:rPr>
      </w:pPr>
      <w:r>
        <w:rPr>
          <w:rFonts w:hint="eastAsia" w:ascii="宋体" w:hAnsi="宋体" w:cs="宋体"/>
          <w:szCs w:val="21"/>
          <w:highlight w:val="none"/>
        </w:rPr>
        <w:t>包括劳务服务管理以及派遣人员的招聘/录用/离职手续办理、入职体检、劳动合同签订、终止或解除、人事信息采集、</w:t>
      </w:r>
      <w:r>
        <w:rPr>
          <w:rFonts w:hint="eastAsia" w:ascii="宋体" w:hAnsi="宋体" w:cs="宋体"/>
          <w:szCs w:val="21"/>
          <w:highlight w:val="none"/>
          <w:lang w:eastAsia="zh-CN"/>
        </w:rPr>
        <w:t>考勤汇总、</w:t>
      </w:r>
      <w:r>
        <w:rPr>
          <w:rFonts w:hint="eastAsia" w:ascii="宋体" w:hAnsi="宋体" w:cs="宋体"/>
          <w:szCs w:val="21"/>
          <w:highlight w:val="none"/>
        </w:rPr>
        <w:t>人事档案、薪酬管理、社会保险（养老、医疗、失业、生育、工伤）、个税代扣代缴、出具个人相关证明、劳动争议调解、纠纷处理、后勤保障、服务质量和效率以及整改后续工作等日常事务。</w:t>
      </w:r>
    </w:p>
    <w:p w14:paraId="2C769ABF">
      <w:pPr>
        <w:spacing w:line="520" w:lineRule="atLeast"/>
        <w:ind w:firstLine="422" w:firstLineChars="200"/>
        <w:rPr>
          <w:rFonts w:hint="eastAsia" w:ascii="宋体" w:hAnsi="宋体" w:cs="宋体"/>
          <w:b/>
          <w:bCs/>
          <w:kern w:val="0"/>
          <w:szCs w:val="21"/>
          <w:highlight w:val="none"/>
          <w:lang w:val="en-US" w:eastAsia="zh-CN" w:bidi="zh-CN"/>
        </w:rPr>
      </w:pPr>
      <w:r>
        <w:rPr>
          <w:rFonts w:hint="eastAsia" w:ascii="宋体" w:hAnsi="宋体" w:cs="宋体"/>
          <w:b/>
          <w:bCs/>
          <w:kern w:val="0"/>
          <w:szCs w:val="21"/>
          <w:highlight w:val="none"/>
          <w:lang w:val="zh-CN" w:bidi="zh-CN"/>
        </w:rPr>
        <w:t>第三条</w:t>
      </w:r>
      <w:r>
        <w:rPr>
          <w:rFonts w:hint="eastAsia" w:ascii="宋体" w:hAnsi="宋体" w:cs="宋体"/>
          <w:b/>
          <w:bCs/>
          <w:kern w:val="0"/>
          <w:szCs w:val="21"/>
          <w:highlight w:val="none"/>
          <w:lang w:val="en-US" w:eastAsia="zh-CN" w:bidi="zh-CN"/>
        </w:rPr>
        <w:t xml:space="preserve">  劳务派遣岗位、人数</w:t>
      </w:r>
    </w:p>
    <w:p w14:paraId="0486C63F">
      <w:pPr>
        <w:spacing w:line="520" w:lineRule="atLeas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乙方根据甲方要求,为甲方提供劳务派遣服务人员</w:t>
      </w:r>
      <w:r>
        <w:rPr>
          <w:rFonts w:hint="eastAsia" w:ascii="宋体" w:hAnsi="宋体" w:cs="宋体"/>
          <w:szCs w:val="21"/>
          <w:highlight w:val="none"/>
          <w:lang w:val="en-US" w:eastAsia="zh-CN"/>
        </w:rPr>
        <w:t>95</w:t>
      </w:r>
      <w:r>
        <w:rPr>
          <w:rFonts w:hint="eastAsia" w:ascii="宋体" w:hAnsi="宋体" w:cs="宋体"/>
          <w:szCs w:val="21"/>
          <w:highlight w:val="none"/>
        </w:rPr>
        <w:t>人（具体派遣人数、工作岗位、工作地点以实际发生为准）</w:t>
      </w:r>
      <w:r>
        <w:rPr>
          <w:rFonts w:hint="eastAsia" w:ascii="宋体" w:hAnsi="宋体" w:cs="宋体"/>
          <w:szCs w:val="21"/>
          <w:highlight w:val="none"/>
          <w:lang w:eastAsia="zh-CN"/>
        </w:rPr>
        <w:t>。</w:t>
      </w:r>
    </w:p>
    <w:tbl>
      <w:tblPr>
        <w:tblStyle w:val="51"/>
        <w:tblW w:w="8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4"/>
        <w:gridCol w:w="4618"/>
        <w:gridCol w:w="2386"/>
      </w:tblGrid>
      <w:tr w14:paraId="685A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6AE03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4CA0B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岗位</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D5A7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需求数量</w:t>
            </w:r>
          </w:p>
        </w:tc>
      </w:tr>
      <w:tr w14:paraId="6F7E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486E5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1AC0A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治疗师/推拿师</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15E8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13</w:t>
            </w:r>
          </w:p>
        </w:tc>
      </w:tr>
      <w:tr w14:paraId="5D74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2145D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603B6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医师助理</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9DD4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14</w:t>
            </w:r>
          </w:p>
        </w:tc>
      </w:tr>
      <w:tr w14:paraId="4E72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74E46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1B0C9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导诊/护士助理</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9957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22</w:t>
            </w:r>
          </w:p>
        </w:tc>
      </w:tr>
      <w:tr w14:paraId="4524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505F1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5377A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检验员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6467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r>
      <w:tr w14:paraId="279E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61530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79D39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打字员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0835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w:t>
            </w:r>
          </w:p>
        </w:tc>
      </w:tr>
      <w:tr w14:paraId="2AF2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2D9DA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4FA3F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药房调剂员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2429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r>
      <w:tr w14:paraId="2897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3439C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6F682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物质转运员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BC5A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r>
      <w:tr w14:paraId="27F7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46A86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52759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勤杂工</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B7DF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r>
      <w:tr w14:paraId="5BB3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0850A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00AA9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锅炉工、水工、木工</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5B6C1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r>
      <w:tr w14:paraId="71F2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6DD4C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08493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收费员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9A13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r>
      <w:tr w14:paraId="00DC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14C91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6DA9F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担架员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698D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r>
      <w:tr w14:paraId="3545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52CD7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13A26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病案翻拍员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0FC7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r>
      <w:tr w14:paraId="1F87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4A741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129BD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小车司机</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061F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r>
      <w:tr w14:paraId="7EA9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C32F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FE8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95</w:t>
            </w:r>
          </w:p>
        </w:tc>
      </w:tr>
    </w:tbl>
    <w:p w14:paraId="15D7D24C">
      <w:pPr>
        <w:spacing w:line="520" w:lineRule="atLeast"/>
        <w:ind w:firstLine="422" w:firstLineChars="200"/>
        <w:rPr>
          <w:rFonts w:hint="eastAsia" w:ascii="宋体" w:hAnsi="宋体" w:cs="宋体"/>
          <w:b/>
          <w:bCs/>
          <w:kern w:val="0"/>
          <w:szCs w:val="21"/>
          <w:highlight w:val="none"/>
          <w:lang w:val="zh-CN" w:bidi="zh-CN"/>
        </w:rPr>
      </w:pPr>
      <w:r>
        <w:rPr>
          <w:rFonts w:hint="eastAsia" w:ascii="宋体" w:hAnsi="宋体" w:cs="宋体"/>
          <w:b/>
          <w:bCs/>
          <w:kern w:val="0"/>
          <w:szCs w:val="21"/>
          <w:highlight w:val="none"/>
          <w:lang w:val="zh-CN" w:bidi="zh-CN"/>
        </w:rPr>
        <w:t>第四条 劳务费标准、结算</w:t>
      </w:r>
    </w:p>
    <w:p w14:paraId="50FE015B">
      <w:pPr>
        <w:spacing w:line="520" w:lineRule="atLeast"/>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本合同劳务服务总价款：￥</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w:t>
      </w:r>
      <w:r>
        <w:rPr>
          <w:rFonts w:hint="eastAsia" w:ascii="宋体" w:hAnsi="宋体" w:cs="宋体"/>
          <w:szCs w:val="21"/>
          <w:highlight w:val="none"/>
          <w:lang w:val="en-US" w:eastAsia="zh-CN"/>
        </w:rPr>
        <w:t>/年</w:t>
      </w:r>
      <w:r>
        <w:rPr>
          <w:rFonts w:hint="eastAsia" w:ascii="宋体" w:hAnsi="宋体" w:cs="宋体"/>
          <w:szCs w:val="21"/>
          <w:highlight w:val="none"/>
          <w:lang w:eastAsia="zh-CN"/>
        </w:rPr>
        <w:t>，</w:t>
      </w:r>
    </w:p>
    <w:p w14:paraId="3D35F13B">
      <w:pPr>
        <w:spacing w:line="520" w:lineRule="atLeast"/>
        <w:ind w:firstLine="420" w:firstLineChars="200"/>
        <w:rPr>
          <w:rFonts w:hint="eastAsia" w:ascii="宋体" w:hAnsi="宋体" w:cs="宋体"/>
          <w:szCs w:val="21"/>
          <w:highlight w:val="none"/>
        </w:rPr>
      </w:pPr>
      <w:r>
        <w:rPr>
          <w:rFonts w:hint="eastAsia" w:ascii="宋体" w:hAnsi="宋体" w:cs="宋体"/>
          <w:szCs w:val="21"/>
          <w:highlight w:val="none"/>
        </w:rPr>
        <w:t>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lang w:val="en-US" w:eastAsia="zh-CN"/>
        </w:rPr>
        <w:t>/年</w:t>
      </w:r>
      <w:r>
        <w:rPr>
          <w:rFonts w:hint="eastAsia" w:ascii="宋体" w:hAnsi="宋体" w:cs="宋体"/>
          <w:szCs w:val="21"/>
          <w:highlight w:val="none"/>
          <w:lang w:eastAsia="zh-CN"/>
        </w:rPr>
        <w:t>，折合每人每月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元。</w:t>
      </w:r>
      <w:r>
        <w:rPr>
          <w:rFonts w:hint="eastAsia" w:ascii="宋体" w:hAnsi="宋体" w:cs="宋体"/>
          <w:szCs w:val="21"/>
          <w:highlight w:val="none"/>
        </w:rPr>
        <w:t>包括：</w:t>
      </w:r>
    </w:p>
    <w:p w14:paraId="47A4A334">
      <w:pPr>
        <w:spacing w:line="520" w:lineRule="atLeast"/>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rPr>
        <w:t>劳务</w:t>
      </w:r>
      <w:r>
        <w:rPr>
          <w:rFonts w:hint="eastAsia" w:ascii="宋体" w:hAnsi="宋体" w:cs="宋体"/>
          <w:szCs w:val="21"/>
          <w:highlight w:val="none"/>
          <w:lang w:eastAsia="zh-CN"/>
        </w:rPr>
        <w:t>服务</w:t>
      </w:r>
      <w:r>
        <w:rPr>
          <w:rFonts w:hint="eastAsia" w:ascii="宋体" w:hAnsi="宋体" w:cs="宋体"/>
          <w:szCs w:val="21"/>
          <w:highlight w:val="none"/>
        </w:rPr>
        <w:t>管理费：以乙方派遣至甲方工作的实际人员数量为基数，按每人每月_</w:t>
      </w:r>
      <w:r>
        <w:rPr>
          <w:rFonts w:hint="eastAsia" w:ascii="宋体" w:hAnsi="宋体" w:cs="宋体"/>
          <w:szCs w:val="21"/>
          <w:highlight w:val="none"/>
        </w:rPr>
        <w:br w:type="textWrapping"/>
      </w:r>
      <w:r>
        <w:rPr>
          <w:rFonts w:hint="eastAsia" w:ascii="宋体" w:hAnsi="宋体" w:cs="宋体"/>
          <w:szCs w:val="21"/>
          <w:highlight w:val="none"/>
        </w:rPr>
        <w:t>元的标准支付；</w:t>
      </w:r>
    </w:p>
    <w:p w14:paraId="1009DA19">
      <w:pPr>
        <w:widowControl w:val="0"/>
        <w:spacing w:line="520" w:lineRule="atLeast"/>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rPr>
        <w:t>劳务派遣人员劳动报酬：按照甲方薪酬标准和规定，根据派遣人员从事的</w:t>
      </w:r>
      <w:r>
        <w:rPr>
          <w:rFonts w:hint="eastAsia" w:ascii="宋体" w:hAnsi="宋体" w:cs="宋体"/>
          <w:szCs w:val="21"/>
          <w:highlight w:val="none"/>
          <w:lang w:eastAsia="zh-CN"/>
        </w:rPr>
        <w:t>具体</w:t>
      </w:r>
      <w:r>
        <w:rPr>
          <w:rFonts w:hint="eastAsia" w:ascii="宋体" w:hAnsi="宋体" w:cs="宋体"/>
          <w:szCs w:val="21"/>
          <w:highlight w:val="none"/>
          <w:lang w:val="en-US" w:eastAsia="zh-CN"/>
        </w:rPr>
        <w:t>岗位、考勤、学历、职称、技能、履职</w:t>
      </w:r>
      <w:r>
        <w:rPr>
          <w:rFonts w:hint="eastAsia" w:ascii="宋体" w:hAnsi="宋体" w:cs="宋体"/>
          <w:szCs w:val="21"/>
          <w:highlight w:val="none"/>
        </w:rPr>
        <w:t>等情况，支付劳务派遣人员劳动报酬；甲方可依据某些特定岗位的具体情况，额外给予派遣人员加班费、绩效奖金等，相关费用由甲方承担。</w:t>
      </w:r>
    </w:p>
    <w:p w14:paraId="49CF6C8D">
      <w:pPr>
        <w:spacing w:line="520" w:lineRule="atLeast"/>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劳务派遣人员社会保险费用：</w:t>
      </w:r>
      <w:r>
        <w:rPr>
          <w:rFonts w:hint="eastAsia" w:ascii="宋体" w:hAnsi="宋体" w:cs="宋体"/>
          <w:szCs w:val="21"/>
          <w:highlight w:val="none"/>
          <w:lang w:eastAsia="zh-CN"/>
        </w:rPr>
        <w:t>依据当地政府</w:t>
      </w:r>
      <w:r>
        <w:rPr>
          <w:rFonts w:hint="eastAsia" w:ascii="宋体" w:hAnsi="宋体" w:cs="宋体"/>
          <w:szCs w:val="21"/>
          <w:highlight w:val="none"/>
        </w:rPr>
        <w:t>规定标准，承担的社会保险费用（以乙方每月提供给甲方的缴纳明细及发票金额为准）。社会保险包括：基本养老保险、基本医疗保险、工伤保险、失业保险、生育保险；</w:t>
      </w:r>
    </w:p>
    <w:p w14:paraId="4661BC3B">
      <w:pPr>
        <w:spacing w:line="520" w:lineRule="atLeast"/>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lang w:val="en-US" w:eastAsia="zh-CN"/>
        </w:rPr>
        <w:t>体检、工会等福利费用；</w:t>
      </w:r>
    </w:p>
    <w:p w14:paraId="59F75DD3">
      <w:pPr>
        <w:spacing w:line="520" w:lineRule="atLeast"/>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（5）</w:t>
      </w:r>
      <w:r>
        <w:rPr>
          <w:rFonts w:hint="eastAsia" w:ascii="宋体" w:hAnsi="宋体" w:cs="宋体"/>
          <w:szCs w:val="21"/>
          <w:highlight w:val="none"/>
        </w:rPr>
        <w:t>劳务派遣人员的个人所得税由乙方从劳务派遣人员每月工资中代扣代缴</w:t>
      </w:r>
      <w:r>
        <w:rPr>
          <w:rFonts w:hint="eastAsia" w:ascii="宋体" w:hAnsi="宋体" w:cs="宋体"/>
          <w:szCs w:val="21"/>
          <w:highlight w:val="none"/>
          <w:lang w:eastAsia="zh-CN"/>
        </w:rPr>
        <w:t>。</w:t>
      </w:r>
    </w:p>
    <w:p w14:paraId="79FF70F7">
      <w:pPr>
        <w:spacing w:line="520" w:lineRule="atLeast"/>
        <w:ind w:firstLine="420" w:firstLineChars="200"/>
        <w:rPr>
          <w:rFonts w:hint="eastAsia" w:ascii="宋体" w:hAnsi="宋体" w:cs="宋体"/>
          <w:szCs w:val="21"/>
          <w:highlight w:val="none"/>
          <w:lang w:bidi="zh-CN"/>
        </w:rPr>
      </w:pPr>
      <w:r>
        <w:rPr>
          <w:rFonts w:hint="eastAsia" w:ascii="宋体" w:hAnsi="宋体" w:cs="宋体"/>
          <w:szCs w:val="21"/>
          <w:highlight w:val="none"/>
          <w:lang w:val="en-US" w:bidi="zh-CN"/>
        </w:rPr>
        <w:t>2.</w:t>
      </w:r>
      <w:r>
        <w:rPr>
          <w:rFonts w:hint="eastAsia" w:ascii="宋体" w:hAnsi="宋体" w:cs="宋体"/>
          <w:szCs w:val="21"/>
          <w:highlight w:val="none"/>
          <w:lang w:bidi="zh-CN"/>
        </w:rPr>
        <w:t>乙方每月10日前向甲方提交下列材料，经甲方审核无误后支付采购价款：</w:t>
      </w:r>
    </w:p>
    <w:p w14:paraId="70B57740">
      <w:pPr>
        <w:spacing w:line="520" w:lineRule="atLeast"/>
        <w:ind w:firstLine="420" w:firstLineChars="200"/>
        <w:rPr>
          <w:rFonts w:hint="eastAsia" w:ascii="宋体" w:hAnsi="宋体" w:cs="宋体"/>
          <w:szCs w:val="21"/>
          <w:highlight w:val="none"/>
          <w:lang w:bidi="zh-CN"/>
        </w:rPr>
      </w:pPr>
      <w:r>
        <w:rPr>
          <w:rFonts w:hint="eastAsia" w:ascii="宋体" w:hAnsi="宋体" w:cs="宋体"/>
          <w:szCs w:val="21"/>
          <w:highlight w:val="none"/>
          <w:lang w:bidi="zh-CN"/>
        </w:rPr>
        <w:t>（1）《劳务派遣人员劳务费结算表》（按实际派遣员工清单为准，据实结算），甲方签字确认；</w:t>
      </w:r>
    </w:p>
    <w:p w14:paraId="13C35CA8">
      <w:pPr>
        <w:spacing w:line="520" w:lineRule="atLeast"/>
        <w:ind w:firstLine="420" w:firstLineChars="200"/>
        <w:rPr>
          <w:rFonts w:ascii="宋体" w:hAnsi="宋体" w:cs="宋体"/>
          <w:szCs w:val="21"/>
          <w:highlight w:val="none"/>
          <w:lang w:bidi="zh-CN"/>
        </w:rPr>
      </w:pPr>
      <w:r>
        <w:rPr>
          <w:rFonts w:hint="eastAsia" w:ascii="宋体" w:hAnsi="宋体" w:cs="宋体"/>
          <w:szCs w:val="21"/>
          <w:highlight w:val="none"/>
          <w:lang w:bidi="zh-CN"/>
        </w:rPr>
        <w:t>（2）《劳务派遣人员考勤汇总表》，包含日常考核情况，汇总派遣人员的考勤、考核奖惩等统计，作为支付依据；</w:t>
      </w:r>
    </w:p>
    <w:p w14:paraId="4A163725">
      <w:pPr>
        <w:spacing w:line="520" w:lineRule="atLeast"/>
        <w:ind w:firstLine="420" w:firstLineChars="200"/>
        <w:rPr>
          <w:rFonts w:hint="eastAsia" w:ascii="宋体" w:hAnsi="宋体" w:cs="宋体"/>
          <w:szCs w:val="21"/>
          <w:highlight w:val="none"/>
          <w:lang w:bidi="zh-CN"/>
        </w:rPr>
      </w:pPr>
      <w:r>
        <w:rPr>
          <w:rFonts w:hint="eastAsia" w:ascii="宋体" w:hAnsi="宋体" w:cs="宋体"/>
          <w:szCs w:val="21"/>
          <w:highlight w:val="none"/>
          <w:lang w:bidi="zh-CN"/>
        </w:rPr>
        <w:t>（3）社保明细结算表；</w:t>
      </w:r>
    </w:p>
    <w:p w14:paraId="271C1C02">
      <w:pPr>
        <w:spacing w:line="520" w:lineRule="atLeast"/>
        <w:ind w:firstLine="420" w:firstLineChars="200"/>
        <w:rPr>
          <w:rFonts w:hint="eastAsia" w:ascii="宋体" w:hAnsi="宋体" w:cs="宋体"/>
          <w:szCs w:val="21"/>
          <w:highlight w:val="none"/>
          <w:lang w:bidi="zh-CN"/>
        </w:rPr>
      </w:pPr>
      <w:r>
        <w:rPr>
          <w:rFonts w:hint="eastAsia" w:ascii="宋体" w:hAnsi="宋体" w:cs="宋体"/>
          <w:szCs w:val="21"/>
          <w:highlight w:val="none"/>
          <w:lang w:bidi="zh-CN"/>
        </w:rPr>
        <w:t>（4）经甲方确认的等额有效发票；</w:t>
      </w:r>
    </w:p>
    <w:p w14:paraId="7A4B94DB">
      <w:pPr>
        <w:spacing w:line="520" w:lineRule="atLeast"/>
        <w:ind w:firstLine="420" w:firstLineChars="200"/>
        <w:rPr>
          <w:rFonts w:hint="eastAsia" w:ascii="宋体" w:hAnsi="宋体" w:cs="宋体"/>
          <w:szCs w:val="21"/>
          <w:highlight w:val="none"/>
        </w:rPr>
      </w:pPr>
      <w:r>
        <w:rPr>
          <w:rFonts w:hint="eastAsia" w:ascii="宋体" w:hAnsi="宋体" w:cs="宋体"/>
          <w:szCs w:val="21"/>
          <w:highlight w:val="none"/>
          <w:lang w:bidi="zh-CN"/>
        </w:rPr>
        <w:t>（</w:t>
      </w:r>
      <w:r>
        <w:rPr>
          <w:rFonts w:hint="eastAsia" w:ascii="宋体" w:hAnsi="宋体" w:cs="宋体"/>
          <w:szCs w:val="21"/>
          <w:highlight w:val="none"/>
          <w:lang w:val="en-US" w:bidi="zh-CN"/>
        </w:rPr>
        <w:t>5）</w:t>
      </w:r>
      <w:r>
        <w:rPr>
          <w:rFonts w:hint="eastAsia" w:ascii="宋体" w:hAnsi="宋体" w:cs="宋体"/>
          <w:szCs w:val="21"/>
          <w:highlight w:val="none"/>
          <w:lang w:bidi="zh-CN"/>
        </w:rPr>
        <w:t>其他材料。</w:t>
      </w:r>
    </w:p>
    <w:p w14:paraId="36C9AEDD">
      <w:pPr>
        <w:spacing w:line="520" w:lineRule="atLeast"/>
        <w:ind w:firstLine="420" w:firstLineChars="200"/>
        <w:rPr>
          <w:rFonts w:hint="eastAsia" w:ascii="宋体" w:hAnsi="宋体" w:cs="宋体"/>
          <w:szCs w:val="21"/>
          <w:highlight w:val="none"/>
          <w:lang w:bidi="zh-CN"/>
        </w:rPr>
      </w:pPr>
      <w:r>
        <w:rPr>
          <w:rFonts w:hint="eastAsia" w:ascii="宋体" w:hAnsi="宋体" w:cs="宋体"/>
          <w:szCs w:val="21"/>
          <w:highlight w:val="none"/>
          <w:lang w:bidi="zh-CN"/>
        </w:rPr>
        <w:t>3.甲方于每月</w:t>
      </w:r>
      <w:r>
        <w:rPr>
          <w:rFonts w:hint="eastAsia" w:ascii="宋体" w:hAnsi="宋体" w:cs="宋体"/>
          <w:szCs w:val="21"/>
          <w:highlight w:val="none"/>
          <w:lang w:val="en-US" w:bidi="zh-CN"/>
        </w:rPr>
        <w:t>20</w:t>
      </w:r>
      <w:r>
        <w:rPr>
          <w:rFonts w:hint="eastAsia" w:ascii="宋体" w:hAnsi="宋体" w:cs="宋体"/>
          <w:szCs w:val="21"/>
          <w:highlight w:val="none"/>
          <w:lang w:bidi="zh-CN"/>
        </w:rPr>
        <w:t>日前</w:t>
      </w:r>
      <w:r>
        <w:rPr>
          <w:rFonts w:hint="eastAsia" w:ascii="宋体" w:hAnsi="宋体" w:cs="宋体"/>
          <w:szCs w:val="21"/>
          <w:highlight w:val="none"/>
        </w:rPr>
        <w:t>（遇节假日提前）</w:t>
      </w:r>
      <w:r>
        <w:rPr>
          <w:rFonts w:hint="eastAsia" w:ascii="宋体" w:hAnsi="宋体" w:cs="宋体"/>
          <w:szCs w:val="21"/>
          <w:highlight w:val="none"/>
          <w:lang w:bidi="zh-CN"/>
        </w:rPr>
        <w:t>将上月应支付的用工劳务费</w:t>
      </w:r>
      <w:r>
        <w:rPr>
          <w:rFonts w:hint="eastAsia" w:ascii="宋体" w:hAnsi="宋体" w:cs="宋体"/>
          <w:szCs w:val="21"/>
          <w:highlight w:val="none"/>
        </w:rPr>
        <w:t>以银行转账方式向乙方支付</w:t>
      </w:r>
      <w:r>
        <w:rPr>
          <w:rFonts w:hint="eastAsia" w:ascii="宋体" w:hAnsi="宋体" w:cs="宋体"/>
          <w:szCs w:val="21"/>
          <w:highlight w:val="none"/>
          <w:lang w:eastAsia="zh-CN"/>
        </w:rPr>
        <w:t>，</w:t>
      </w:r>
      <w:r>
        <w:rPr>
          <w:rFonts w:hint="eastAsia" w:ascii="宋体" w:hAnsi="宋体" w:cs="宋体"/>
          <w:szCs w:val="21"/>
          <w:highlight w:val="none"/>
        </w:rPr>
        <w:t>费用支付方式以人民币为结算币种。</w:t>
      </w:r>
      <w:r>
        <w:rPr>
          <w:rFonts w:hint="eastAsia" w:ascii="宋体" w:hAnsi="宋体" w:cs="宋体"/>
          <w:szCs w:val="21"/>
          <w:highlight w:val="none"/>
          <w:lang w:bidi="zh-CN"/>
        </w:rPr>
        <w:t>乙方在收到劳务费后，不超过3个工作日按时足额的发放被派遣人员劳务报酬。</w:t>
      </w:r>
    </w:p>
    <w:p w14:paraId="2C2B0EDC">
      <w:pPr>
        <w:spacing w:line="520" w:lineRule="atLeast"/>
        <w:ind w:firstLine="420" w:firstLineChars="200"/>
        <w:rPr>
          <w:rFonts w:ascii="宋体" w:hAnsi="宋体" w:cs="宋体"/>
          <w:szCs w:val="21"/>
          <w:highlight w:val="none"/>
          <w:lang w:val="zh-CN" w:bidi="zh-CN"/>
        </w:rPr>
      </w:pPr>
      <w:r>
        <w:rPr>
          <w:rFonts w:hint="eastAsia" w:ascii="宋体" w:hAnsi="宋体" w:cs="宋体"/>
          <w:szCs w:val="21"/>
          <w:highlight w:val="none"/>
          <w:lang w:val="zh-CN" w:bidi="zh-CN"/>
        </w:rPr>
        <w:t xml:space="preserve">4.乙方收款账户： </w:t>
      </w:r>
    </w:p>
    <w:p w14:paraId="4CA4C7F3">
      <w:pPr>
        <w:spacing w:line="520" w:lineRule="atLeast"/>
        <w:ind w:left="420" w:leftChars="200" w:firstLine="420" w:firstLineChars="200"/>
        <w:rPr>
          <w:rFonts w:ascii="宋体" w:hAnsi="宋体" w:cs="宋体"/>
          <w:szCs w:val="21"/>
          <w:highlight w:val="none"/>
          <w:lang w:val="zh-CN" w:bidi="zh-CN"/>
        </w:rPr>
      </w:pPr>
      <w:r>
        <w:rPr>
          <w:rFonts w:hint="eastAsia" w:ascii="宋体" w:hAnsi="宋体" w:cs="宋体"/>
          <w:szCs w:val="21"/>
          <w:highlight w:val="none"/>
          <w:lang w:val="zh-CN" w:bidi="zh-CN"/>
        </w:rPr>
        <w:t>户名：</w:t>
      </w:r>
    </w:p>
    <w:p w14:paraId="7689BA5A">
      <w:pPr>
        <w:spacing w:line="520" w:lineRule="atLeast"/>
        <w:ind w:left="420" w:leftChars="200" w:firstLine="420" w:firstLineChars="200"/>
        <w:rPr>
          <w:rFonts w:ascii="宋体" w:hAnsi="宋体" w:cs="宋体"/>
          <w:szCs w:val="21"/>
          <w:highlight w:val="none"/>
          <w:lang w:val="zh-CN" w:bidi="zh-CN"/>
        </w:rPr>
      </w:pPr>
      <w:r>
        <w:rPr>
          <w:rFonts w:hint="eastAsia" w:ascii="宋体" w:hAnsi="宋体" w:cs="宋体"/>
          <w:szCs w:val="21"/>
          <w:highlight w:val="none"/>
          <w:lang w:val="zh-CN" w:bidi="zh-CN"/>
        </w:rPr>
        <w:t xml:space="preserve">开户行： </w:t>
      </w:r>
    </w:p>
    <w:p w14:paraId="2D100734">
      <w:pPr>
        <w:spacing w:line="520" w:lineRule="atLeast"/>
        <w:ind w:left="420" w:leftChars="200" w:firstLine="420" w:firstLineChars="200"/>
        <w:rPr>
          <w:rFonts w:hint="eastAsia" w:ascii="宋体" w:hAnsi="宋体" w:cs="宋体"/>
          <w:szCs w:val="21"/>
          <w:highlight w:val="none"/>
          <w:lang w:val="zh-CN" w:bidi="zh-CN"/>
        </w:rPr>
      </w:pPr>
      <w:r>
        <w:rPr>
          <w:rFonts w:hint="eastAsia" w:ascii="宋体" w:hAnsi="宋体" w:cs="宋体"/>
          <w:szCs w:val="21"/>
          <w:highlight w:val="none"/>
          <w:lang w:val="zh-CN" w:bidi="zh-CN"/>
        </w:rPr>
        <w:t>账号：</w:t>
      </w:r>
    </w:p>
    <w:p w14:paraId="409D1470">
      <w:pPr>
        <w:spacing w:line="520" w:lineRule="atLeast"/>
        <w:ind w:firstLine="420" w:firstLineChars="200"/>
        <w:rPr>
          <w:rFonts w:hint="eastAsia" w:ascii="宋体" w:hAnsi="宋体" w:cs="宋体"/>
          <w:szCs w:val="21"/>
          <w:highlight w:val="none"/>
          <w:lang w:val="zh-CN" w:eastAsia="zh-CN" w:bidi="zh-CN"/>
        </w:rPr>
      </w:pPr>
      <w:r>
        <w:rPr>
          <w:rFonts w:hint="eastAsia" w:ascii="宋体" w:hAnsi="宋体" w:cs="宋体"/>
          <w:color w:val="auto"/>
          <w:szCs w:val="21"/>
          <w:highlight w:val="none"/>
          <w:lang w:val="en-US" w:bidi="zh-CN"/>
        </w:rPr>
        <w:t>5.</w:t>
      </w:r>
      <w:r>
        <w:rPr>
          <w:rFonts w:hint="eastAsia" w:ascii="宋体" w:hAnsi="宋体" w:cs="宋体"/>
          <w:color w:val="auto"/>
          <w:szCs w:val="21"/>
          <w:highlight w:val="none"/>
          <w:lang w:bidi="zh-CN"/>
        </w:rPr>
        <w:t>若甲乙双方或某一方发生合并或分立等情况，本协议继续有效，由承继单位继续履行。</w:t>
      </w:r>
    </w:p>
    <w:p w14:paraId="0B2B7F40">
      <w:pPr>
        <w:spacing w:line="520" w:lineRule="atLeast"/>
        <w:ind w:firstLine="422" w:firstLineChars="200"/>
        <w:rPr>
          <w:rFonts w:ascii="宋体" w:hAnsi="宋体" w:cs="宋体"/>
          <w:b/>
          <w:bCs/>
          <w:kern w:val="0"/>
          <w:szCs w:val="21"/>
          <w:highlight w:val="none"/>
          <w:lang w:val="zh-CN" w:bidi="zh-CN"/>
        </w:rPr>
      </w:pPr>
      <w:r>
        <w:rPr>
          <w:rFonts w:hint="eastAsia" w:ascii="宋体" w:hAnsi="宋体" w:cs="宋体"/>
          <w:b/>
          <w:bCs/>
          <w:kern w:val="0"/>
          <w:szCs w:val="21"/>
          <w:highlight w:val="none"/>
          <w:lang w:val="zh-CN" w:bidi="zh-CN"/>
        </w:rPr>
        <w:t>第五条</w:t>
      </w:r>
      <w:r>
        <w:rPr>
          <w:rFonts w:hint="eastAsia" w:ascii="宋体" w:hAnsi="宋体" w:cs="宋体"/>
          <w:b/>
          <w:bCs/>
          <w:kern w:val="0"/>
          <w:szCs w:val="21"/>
          <w:highlight w:val="none"/>
          <w:lang w:bidi="zh-CN"/>
        </w:rPr>
        <w:t xml:space="preserve">  </w:t>
      </w:r>
      <w:r>
        <w:rPr>
          <w:rFonts w:hint="eastAsia" w:ascii="宋体" w:hAnsi="宋体" w:cs="宋体"/>
          <w:b/>
          <w:bCs/>
          <w:kern w:val="0"/>
          <w:szCs w:val="21"/>
          <w:highlight w:val="none"/>
          <w:lang w:val="zh-CN" w:bidi="zh-CN"/>
        </w:rPr>
        <w:t>双方的权利和义务</w:t>
      </w:r>
    </w:p>
    <w:p w14:paraId="1EC01097">
      <w:pPr>
        <w:spacing w:line="520" w:lineRule="atLeast"/>
        <w:ind w:firstLine="422" w:firstLineChars="200"/>
        <w:rPr>
          <w:rFonts w:ascii="宋体" w:hAnsi="宋体" w:cs="宋体"/>
          <w:b/>
          <w:bCs/>
          <w:szCs w:val="21"/>
          <w:highlight w:val="none"/>
        </w:rPr>
      </w:pPr>
      <w:r>
        <w:rPr>
          <w:rFonts w:hint="eastAsia" w:ascii="宋体" w:hAnsi="宋体" w:cs="宋体"/>
          <w:b/>
          <w:bCs/>
          <w:szCs w:val="21"/>
          <w:highlight w:val="none"/>
        </w:rPr>
        <w:t>1.甲方义务</w:t>
      </w:r>
    </w:p>
    <w:p w14:paraId="04B8B584">
      <w:pPr>
        <w:spacing w:line="520" w:lineRule="atLeast"/>
        <w:ind w:firstLine="420" w:firstLineChars="200"/>
        <w:rPr>
          <w:rFonts w:ascii="宋体" w:hAnsi="宋体" w:cs="宋体"/>
          <w:szCs w:val="21"/>
          <w:highlight w:val="none"/>
        </w:rPr>
      </w:pPr>
      <w:r>
        <w:rPr>
          <w:rFonts w:hint="eastAsia" w:ascii="宋体" w:hAnsi="宋体" w:cs="宋体"/>
          <w:szCs w:val="21"/>
          <w:highlight w:val="none"/>
        </w:rPr>
        <w:t>（1）向乙方派遣人员提供符合劳动安全卫生管理规定的工作条件和环境，提供水、电、办公用具等必须的基础工作条件，以及劳动保护用品和劳动保护措施。</w:t>
      </w:r>
    </w:p>
    <w:p w14:paraId="2369CB7C">
      <w:pPr>
        <w:spacing w:line="520" w:lineRule="atLeast"/>
        <w:ind w:firstLine="420" w:firstLineChars="200"/>
        <w:rPr>
          <w:rFonts w:ascii="宋体" w:hAnsi="宋体" w:cs="宋体"/>
          <w:szCs w:val="21"/>
          <w:highlight w:val="none"/>
        </w:rPr>
      </w:pPr>
      <w:r>
        <w:rPr>
          <w:rFonts w:hint="eastAsia" w:ascii="宋体" w:hAnsi="宋体" w:cs="宋体"/>
          <w:szCs w:val="21"/>
          <w:highlight w:val="none"/>
        </w:rPr>
        <w:t>（2）甲方尊重乙方派遣人员的民族习惯和宗教信仰，严禁种族和性别歧视。</w:t>
      </w:r>
    </w:p>
    <w:p w14:paraId="2FFAFE3A">
      <w:pPr>
        <w:spacing w:line="520" w:lineRule="atLeast"/>
        <w:ind w:firstLine="420" w:firstLineChars="200"/>
        <w:rPr>
          <w:rFonts w:ascii="宋体" w:hAnsi="宋体" w:cs="宋体"/>
          <w:szCs w:val="21"/>
          <w:highlight w:val="none"/>
        </w:rPr>
      </w:pPr>
      <w:r>
        <w:rPr>
          <w:rFonts w:hint="eastAsia" w:ascii="宋体" w:hAnsi="宋体" w:cs="宋体"/>
          <w:szCs w:val="21"/>
          <w:highlight w:val="none"/>
        </w:rPr>
        <w:t>（3）甲方及时向乙方支付服务管理费以及派遣人员薪酬、福利待遇及社会保险费等相关费用。</w:t>
      </w:r>
    </w:p>
    <w:p w14:paraId="45598DCB">
      <w:pPr>
        <w:spacing w:line="520" w:lineRule="atLeast"/>
        <w:ind w:firstLine="420" w:firstLineChars="200"/>
        <w:rPr>
          <w:rFonts w:ascii="宋体" w:hAnsi="宋体" w:cs="宋体"/>
          <w:szCs w:val="21"/>
          <w:highlight w:val="none"/>
        </w:rPr>
      </w:pPr>
      <w:r>
        <w:rPr>
          <w:rFonts w:hint="eastAsia" w:ascii="宋体" w:hAnsi="宋体" w:cs="宋体"/>
          <w:szCs w:val="21"/>
          <w:highlight w:val="none"/>
        </w:rPr>
        <w:t>（4）甲方负责对乙方派遣人员进行日常管理、监督、检查和考核。</w:t>
      </w:r>
    </w:p>
    <w:p w14:paraId="3389D609">
      <w:pPr>
        <w:spacing w:line="520" w:lineRule="atLeast"/>
        <w:ind w:firstLine="420" w:firstLineChars="200"/>
        <w:rPr>
          <w:rFonts w:ascii="宋体" w:hAnsi="宋体" w:cs="宋体"/>
          <w:szCs w:val="21"/>
          <w:highlight w:val="none"/>
        </w:rPr>
      </w:pPr>
      <w:r>
        <w:rPr>
          <w:rFonts w:hint="eastAsia" w:ascii="宋体" w:hAnsi="宋体" w:cs="宋体"/>
          <w:szCs w:val="21"/>
          <w:highlight w:val="none"/>
        </w:rPr>
        <w:t xml:space="preserve">（5）甲方有义务保守履约合同过程中有关的商业秘密。 </w:t>
      </w:r>
    </w:p>
    <w:p w14:paraId="470B42FB">
      <w:pPr>
        <w:spacing w:line="520" w:lineRule="atLeast"/>
        <w:ind w:firstLine="422" w:firstLineChars="200"/>
        <w:rPr>
          <w:rFonts w:ascii="宋体" w:hAnsi="宋体" w:cs="宋体"/>
          <w:b/>
          <w:bCs/>
          <w:szCs w:val="21"/>
          <w:highlight w:val="none"/>
        </w:rPr>
      </w:pPr>
      <w:r>
        <w:rPr>
          <w:rFonts w:hint="eastAsia" w:ascii="宋体" w:hAnsi="宋体" w:cs="宋体"/>
          <w:b/>
          <w:bCs/>
          <w:szCs w:val="21"/>
          <w:highlight w:val="none"/>
        </w:rPr>
        <w:t>2.乙方义务</w:t>
      </w:r>
    </w:p>
    <w:p w14:paraId="10FC72C0">
      <w:pPr>
        <w:spacing w:line="520" w:lineRule="atLeast"/>
        <w:ind w:firstLine="420" w:firstLineChars="200"/>
        <w:rPr>
          <w:rFonts w:ascii="宋体" w:hAnsi="宋体" w:cs="宋体"/>
          <w:szCs w:val="21"/>
          <w:highlight w:val="none"/>
        </w:rPr>
      </w:pPr>
      <w:r>
        <w:rPr>
          <w:rFonts w:hint="eastAsia" w:ascii="宋体" w:hAnsi="宋体" w:cs="宋体"/>
          <w:szCs w:val="21"/>
          <w:highlight w:val="none"/>
        </w:rPr>
        <w:t>（1）乙方应按甲方要求做好劳务人员派遣工作，并根据有关法律法规政策，制订劳务派遣的各项管理办法、规章制度，实行精细化管理，承担相应责任，并自觉接受甲方的监督、检查和考核。不得将该项目整体或部分转包给其他人或单位。乙方有义务保守履约合同过程中有关的商业秘密。</w:t>
      </w:r>
    </w:p>
    <w:p w14:paraId="20DA9CC9">
      <w:pPr>
        <w:spacing w:line="520" w:lineRule="atLeast"/>
        <w:ind w:firstLine="420" w:firstLineChars="200"/>
        <w:rPr>
          <w:rFonts w:ascii="宋体" w:hAnsi="宋体" w:cs="宋体"/>
          <w:szCs w:val="21"/>
          <w:highlight w:val="none"/>
        </w:rPr>
      </w:pPr>
      <w:r>
        <w:rPr>
          <w:rFonts w:hint="eastAsia" w:ascii="宋体" w:hAnsi="宋体" w:cs="宋体"/>
          <w:szCs w:val="21"/>
          <w:highlight w:val="none"/>
        </w:rPr>
        <w:t>（2）乙方具有稳定的人员来源，在甲方提出用人需求时，乙方原则上应在</w:t>
      </w:r>
      <w:r>
        <w:rPr>
          <w:rFonts w:hint="eastAsia" w:ascii="宋体" w:hAnsi="宋体" w:cs="宋体"/>
          <w:szCs w:val="21"/>
          <w:highlight w:val="none"/>
          <w:lang w:val="en-US" w:eastAsia="zh-CN"/>
        </w:rPr>
        <w:t>20</w:t>
      </w:r>
      <w:r>
        <w:rPr>
          <w:rFonts w:hint="eastAsia" w:ascii="宋体" w:hAnsi="宋体" w:cs="宋体"/>
          <w:szCs w:val="21"/>
          <w:highlight w:val="none"/>
        </w:rPr>
        <w:t>天内招聘人员到位；若派遣人员辞退或更换的，乙方应在7天内补充合适的劳务派遣人员到岗；未经甲方允许，不得擅自调换派遣人员。如劳务派遣人员因个人原因要求提前终止服务的，需提前30天（试用期提前3天）由本人提出书面离职申请，经甲方同意后乙方办理离职手续。</w:t>
      </w:r>
    </w:p>
    <w:p w14:paraId="14578013">
      <w:pPr>
        <w:spacing w:line="520" w:lineRule="atLeast"/>
        <w:ind w:firstLine="420" w:firstLineChars="200"/>
        <w:rPr>
          <w:rFonts w:hint="eastAsia" w:ascii="宋体" w:hAnsi="宋体" w:cs="宋体"/>
          <w:szCs w:val="21"/>
          <w:highlight w:val="none"/>
          <w:lang w:eastAsia="zh-CN"/>
        </w:rPr>
      </w:pPr>
      <w:r>
        <w:rPr>
          <w:rFonts w:hint="eastAsia" w:ascii="宋体" w:hAnsi="宋体" w:cs="宋体"/>
          <w:szCs w:val="21"/>
          <w:highlight w:val="none"/>
        </w:rPr>
        <w:t>（3）乙方</w:t>
      </w:r>
      <w:r>
        <w:rPr>
          <w:rFonts w:hint="eastAsia" w:ascii="宋体" w:hAnsi="宋体" w:cs="宋体"/>
          <w:szCs w:val="21"/>
          <w:highlight w:val="none"/>
          <w:lang w:eastAsia="zh-CN"/>
        </w:rPr>
        <w:t>应向甲方提供劳务派遣人员的电子档案，并及时更新。乙方负责建立劳务派遣人员花名册、检查入职人员的体检报告、无犯罪记录证明、宗教法规政策告知书，并按规定办理有关档案中记载的材料证明手续。</w:t>
      </w:r>
    </w:p>
    <w:p w14:paraId="343BA21E">
      <w:pPr>
        <w:spacing w:line="520" w:lineRule="atLeast"/>
        <w:ind w:firstLine="420" w:firstLineChars="200"/>
        <w:rPr>
          <w:rFonts w:ascii="宋体" w:hAnsi="宋体" w:cs="宋体"/>
          <w:szCs w:val="21"/>
          <w:highlight w:val="none"/>
        </w:rPr>
      </w:pPr>
      <w:r>
        <w:rPr>
          <w:rFonts w:hint="eastAsia" w:ascii="宋体" w:hAnsi="宋体" w:cs="宋体"/>
          <w:szCs w:val="21"/>
          <w:highlight w:val="none"/>
        </w:rPr>
        <w:t>（4）应严格管理派遣人员，落实甲方规章制度和工作要求，</w:t>
      </w:r>
      <w:r>
        <w:rPr>
          <w:rFonts w:hint="eastAsia" w:ascii="宋体" w:hAnsi="宋体" w:cs="宋体"/>
          <w:szCs w:val="21"/>
          <w:highlight w:val="none"/>
          <w:lang w:eastAsia="zh-CN"/>
        </w:rPr>
        <w:t>及时将相关规章制度告知劳务派遣人员并由劳务派遣人员签字确认，</w:t>
      </w:r>
      <w:r>
        <w:rPr>
          <w:rFonts w:hint="eastAsia" w:ascii="宋体" w:hAnsi="宋体" w:cs="宋体"/>
          <w:szCs w:val="21"/>
          <w:highlight w:val="none"/>
        </w:rPr>
        <w:t>对派遣人员进行入职岗前培训和日常培训，教育并督促派遣人员严格遵守甲方的劳动纪律、规章制度和管理规范规程，统一着装、忠于职守、文明礼貌，服从和执行甲方作出的工作安排和调度。</w:t>
      </w:r>
    </w:p>
    <w:p w14:paraId="5295D44D">
      <w:pPr>
        <w:spacing w:line="520" w:lineRule="atLeast"/>
        <w:ind w:firstLine="420" w:firstLineChars="200"/>
        <w:rPr>
          <w:rFonts w:ascii="宋体" w:hAnsi="宋体" w:cs="宋体"/>
          <w:szCs w:val="21"/>
          <w:highlight w:val="none"/>
        </w:rPr>
      </w:pPr>
      <w:r>
        <w:rPr>
          <w:rFonts w:hint="eastAsia" w:ascii="宋体" w:hAnsi="宋体" w:cs="宋体"/>
          <w:szCs w:val="21"/>
          <w:highlight w:val="none"/>
        </w:rPr>
        <w:t>（5）乙方指定不少于1人全权负责甲方劳务服务项目的落实，并负责派遣人员的日常管理事务。</w:t>
      </w:r>
    </w:p>
    <w:p w14:paraId="4C575B7F">
      <w:pPr>
        <w:spacing w:line="520" w:lineRule="atLeast"/>
        <w:ind w:firstLine="420" w:firstLineChars="200"/>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rPr>
        <w:t>乙方收到甲方每月支付的劳务费3个工作日内，支付乙方派遣人员薪酬、社会保险、相关</w:t>
      </w:r>
      <w:r>
        <w:rPr>
          <w:rFonts w:hint="eastAsia" w:ascii="宋体" w:hAnsi="宋体" w:eastAsia="宋体" w:cs="宋体"/>
          <w:szCs w:val="21"/>
          <w:highlight w:val="none"/>
        </w:rPr>
        <w:t>福利等费用，并</w:t>
      </w:r>
      <w:r>
        <w:rPr>
          <w:rFonts w:hint="eastAsia" w:ascii="宋体" w:hAnsi="宋体" w:eastAsia="宋体" w:cs="宋体"/>
          <w:szCs w:val="21"/>
          <w:highlight w:val="none"/>
          <w:lang w:val="en-US" w:eastAsia="zh-CN"/>
        </w:rPr>
        <w:t>每月及时将各类保险缴纳凭证的复印件及工资支付签收单加盖乙方公章后送给甲方。</w:t>
      </w:r>
      <w:r>
        <w:rPr>
          <w:rFonts w:hint="eastAsia" w:ascii="宋体" w:hAnsi="宋体" w:eastAsia="宋体" w:cs="宋体"/>
          <w:szCs w:val="21"/>
          <w:highlight w:val="none"/>
        </w:rPr>
        <w:t>不得随意扣罚劳务派遣人员工资和其他薪酬，不得缩减劳务派遣人员社会保险费用缴费标准。若乙方有特殊要求，需书面提出经甲方同意后方可扣罚。</w:t>
      </w:r>
    </w:p>
    <w:p w14:paraId="05A47CFE">
      <w:pPr>
        <w:spacing w:line="520" w:lineRule="atLeas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）乙方应依照社会保险法、劳动法等法律法规的</w:t>
      </w:r>
      <w:r>
        <w:rPr>
          <w:rFonts w:hint="eastAsia" w:ascii="宋体" w:hAnsi="宋体" w:cs="宋体"/>
          <w:szCs w:val="21"/>
          <w:highlight w:val="none"/>
        </w:rPr>
        <w:t>规定，负责为派遣到甲方人员及时办理基本养老保险、医疗保险、失业保险、生育保险、工伤保险等手续，并及时申报与兑现派遣人员的失业、工伤、生育、死亡、医疗等政策待遇。</w:t>
      </w:r>
      <w:r>
        <w:rPr>
          <w:rFonts w:hint="eastAsia" w:ascii="宋体" w:hAnsi="宋体" w:cs="宋体"/>
          <w:szCs w:val="21"/>
          <w:highlight w:val="none"/>
          <w:lang w:eastAsia="zh-CN"/>
        </w:rPr>
        <w:t>如因乙方原因，没有为劳务派遣人员办理各类需要办理的社会保险或办理不及时，其所产生的相关保险经济赔偿均由乙方承担。</w:t>
      </w:r>
    </w:p>
    <w:p w14:paraId="0CEFF8C3">
      <w:pPr>
        <w:spacing w:line="520" w:lineRule="atLeas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）乙方</w:t>
      </w:r>
      <w:r>
        <w:rPr>
          <w:rFonts w:hint="eastAsia" w:ascii="宋体" w:hAnsi="宋体" w:cs="宋体"/>
          <w:szCs w:val="21"/>
          <w:highlight w:val="none"/>
          <w:lang w:eastAsia="zh-CN"/>
        </w:rPr>
        <w:t>做好</w:t>
      </w:r>
      <w:r>
        <w:rPr>
          <w:rFonts w:hint="eastAsia" w:ascii="宋体" w:hAnsi="宋体" w:cs="宋体"/>
          <w:szCs w:val="21"/>
          <w:highlight w:val="none"/>
        </w:rPr>
        <w:t>合同期内派遣人员的一切劳动纠纷、劳动仲裁、以及其它突发事件。若</w:t>
      </w:r>
      <w:r>
        <w:rPr>
          <w:rFonts w:hint="eastAsia" w:ascii="宋体" w:hAnsi="宋体" w:cs="宋体"/>
          <w:szCs w:val="21"/>
          <w:highlight w:val="none"/>
          <w:lang w:eastAsia="zh-CN"/>
        </w:rPr>
        <w:t>甲方要求</w:t>
      </w:r>
      <w:r>
        <w:rPr>
          <w:rFonts w:hint="eastAsia" w:ascii="宋体" w:hAnsi="宋体" w:cs="宋体"/>
          <w:szCs w:val="21"/>
          <w:highlight w:val="none"/>
        </w:rPr>
        <w:t>工作现场</w:t>
      </w:r>
      <w:r>
        <w:rPr>
          <w:rFonts w:hint="eastAsia" w:ascii="宋体" w:hAnsi="宋体" w:cs="宋体"/>
          <w:szCs w:val="21"/>
          <w:highlight w:val="none"/>
          <w:lang w:eastAsia="zh-CN"/>
        </w:rPr>
        <w:t>需</w:t>
      </w:r>
      <w:r>
        <w:rPr>
          <w:rFonts w:hint="eastAsia" w:ascii="宋体" w:hAnsi="宋体" w:cs="宋体"/>
          <w:szCs w:val="21"/>
          <w:highlight w:val="none"/>
        </w:rPr>
        <w:t>协调或处理纠纷时，乙方应积极响应并及时到达现场（非节假日或公休日期间在</w:t>
      </w:r>
      <w:r>
        <w:rPr>
          <w:rFonts w:hint="eastAsia" w:ascii="宋体" w:hAnsi="宋体" w:cs="宋体"/>
          <w:szCs w:val="21"/>
          <w:highlight w:val="none"/>
          <w:lang w:val="en-US" w:eastAsia="zh-CN"/>
        </w:rPr>
        <w:t>1</w:t>
      </w:r>
      <w:r>
        <w:rPr>
          <w:rFonts w:hint="eastAsia" w:ascii="宋体" w:hAnsi="宋体" w:cs="宋体"/>
          <w:szCs w:val="21"/>
          <w:highlight w:val="none"/>
        </w:rPr>
        <w:t>小时内到达现场，如遇节假日或公休日在</w:t>
      </w:r>
      <w:r>
        <w:rPr>
          <w:rFonts w:hint="eastAsia" w:ascii="宋体" w:hAnsi="宋体" w:cs="宋体"/>
          <w:szCs w:val="21"/>
          <w:highlight w:val="none"/>
          <w:lang w:val="en-US" w:eastAsia="zh-CN"/>
        </w:rPr>
        <w:t>2</w:t>
      </w:r>
      <w:r>
        <w:rPr>
          <w:rFonts w:hint="eastAsia" w:ascii="宋体" w:hAnsi="宋体" w:cs="宋体"/>
          <w:szCs w:val="21"/>
          <w:highlight w:val="none"/>
        </w:rPr>
        <w:t>小时内到达现场），不得影响甲方正常医疗秩序。</w:t>
      </w:r>
    </w:p>
    <w:p w14:paraId="506B8CBC">
      <w:pPr>
        <w:spacing w:line="520" w:lineRule="atLeast"/>
        <w:ind w:firstLine="420" w:firstLineChars="200"/>
        <w:rPr>
          <w:rFonts w:hint="eastAsia" w:ascii="宋体" w:hAnsi="宋体" w:eastAsia="宋体" w:cs="宋体"/>
          <w:color w:val="auto"/>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）乙方负责工作人员的劳动保护和人身安全。应遵守安全管理规定，安全、文明、合法作业，合同期内乙方派遣人员发生违法违纪、安全责任事故或其他意外事故，均与甲方无关，由乙方自行承担责</w:t>
      </w:r>
      <w:r>
        <w:rPr>
          <w:rFonts w:hint="eastAsia" w:ascii="宋体" w:hAnsi="宋体" w:cs="宋体"/>
          <w:color w:val="auto"/>
          <w:szCs w:val="21"/>
          <w:highlight w:val="none"/>
        </w:rPr>
        <w:t>任。乙方或乙方工作人员在履行合同过程中造成甲方或第三人财产或人身损害的，由乙方负责赔偿。</w:t>
      </w:r>
      <w:r>
        <w:rPr>
          <w:rFonts w:hint="eastAsia" w:ascii="宋体" w:hAnsi="宋体" w:eastAsia="宋体" w:cs="宋体"/>
          <w:color w:val="auto"/>
          <w:szCs w:val="21"/>
          <w:highlight w:val="none"/>
        </w:rPr>
        <w:t xml:space="preserve">乙方在履行合同约定的工作时，乙方人员出现工伤事故或非因公（因病）死亡等情形均由乙方负责处理并承担相应的法律责任。 </w:t>
      </w:r>
    </w:p>
    <w:p w14:paraId="40B2E7B5">
      <w:pPr>
        <w:spacing w:line="52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派遣协议到期，根据甲方单位和劳务派遣人员要求，办理档案续存或转移。</w:t>
      </w:r>
    </w:p>
    <w:p w14:paraId="1C325158">
      <w:pPr>
        <w:spacing w:line="52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3.甲方权利</w:t>
      </w:r>
    </w:p>
    <w:p w14:paraId="5EF5B4BD">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按合同约定，接收乙方劳务派遣人员，或提出更换派遣人员。对招聘信息内容进行书面审核后乙方可发布，参与和监督乙方完成派遣人员的招聘及录用等工作，并由甲方最终确定派遣人员名单。若派遣人员不能胜任所在工作岗位职责，或不遵守院方规章制度的，甲方有权予以辞退。</w:t>
      </w:r>
    </w:p>
    <w:p w14:paraId="52C30DD5">
      <w:pPr>
        <w:spacing w:line="520" w:lineRule="atLeas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rPr>
        <w:t xml:space="preserve">要求乙方将员工的劳动合同、身份证明、岗位任职资格证照等资料复印件并加盖公章后交甲方备案。 </w:t>
      </w:r>
    </w:p>
    <w:p w14:paraId="6934DCFE">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向乙方询问履行合同工作进展情况和相关内容或提出不违反法律、行政法规的建议；</w:t>
      </w:r>
    </w:p>
    <w:p w14:paraId="05AEE136">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）对乙方的管理人员和派遣人员实施监督检查和考核。对乙方不符合规定的行为具有制止、监督的权利。</w:t>
      </w:r>
    </w:p>
    <w:p w14:paraId="5D4DCE6B">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乙方工作进行监督、检查，乙方人员应服从甲方监督人员的管理，在检查中发现乙方出现管理服务不达标问题，甲方可电话或书面通知乙方，要求乙方立即整改，如乙方不能够立即整改，或未在规定时间内整改到位，甲方按照考核标准给予乙方经济处罚。</w:t>
      </w:r>
    </w:p>
    <w:p w14:paraId="08AE05B5">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）提出更换其不称职的工作人员，乙方必须遵守；</w:t>
      </w:r>
    </w:p>
    <w:p w14:paraId="73C11DC1">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）本合同履行期间，由于乙方不履行合同约定的内容，给甲方造成损失或影响工作正常进行的，甲方有权终止本合同，并依法向乙方追索经济赔偿，直至追究法律责任；</w:t>
      </w:r>
    </w:p>
    <w:p w14:paraId="0D2DCB2E">
      <w:pPr>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）甲方有权利要求乙方承诺拟派人员未经同意中途不得更换人员。</w:t>
      </w:r>
    </w:p>
    <w:p w14:paraId="58019EFB">
      <w:pPr>
        <w:spacing w:line="52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 乙方权利</w:t>
      </w:r>
    </w:p>
    <w:p w14:paraId="166789B5">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（1）按合同约定收取劳务费；</w:t>
      </w:r>
    </w:p>
    <w:p w14:paraId="6078BA89">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（2）对履行合同中应由甲方做出的决定，乙方有权提出建议，但必须服从甲方提出的不违反法律、行政法规的决定；</w:t>
      </w:r>
    </w:p>
    <w:p w14:paraId="6FCCE26D">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（3）当甲方提供的基础条件不足或不明确时，有权要求甲方作出明确的答复；</w:t>
      </w:r>
    </w:p>
    <w:p w14:paraId="140083B6">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（4）严格按照甲方管理规定执行，一切违背管理条例的行为都视作为不当行为，应加以制止。</w:t>
      </w:r>
    </w:p>
    <w:p w14:paraId="0282680A">
      <w:pPr>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（5）积极配合甲方完成临时性、指令性工作任务。</w:t>
      </w:r>
    </w:p>
    <w:p w14:paraId="57077AA2">
      <w:pPr>
        <w:keepNext w:val="0"/>
        <w:keepLines w:val="0"/>
        <w:pageBreakBefore w:val="0"/>
        <w:widowControl w:val="0"/>
        <w:kinsoku/>
        <w:wordWrap/>
        <w:overflowPunct/>
        <w:topLinePunct w:val="0"/>
        <w:autoSpaceDE/>
        <w:autoSpaceDN/>
        <w:bidi w:val="0"/>
        <w:adjustRightInd/>
        <w:snapToGrid/>
        <w:spacing w:line="520" w:lineRule="atLeas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第六条</w:t>
      </w:r>
      <w:r>
        <w:rPr>
          <w:rFonts w:hint="eastAsia" w:ascii="宋体" w:hAnsi="宋体" w:cs="宋体"/>
          <w:b/>
          <w:bCs/>
          <w:color w:val="auto"/>
          <w:szCs w:val="21"/>
          <w:highlight w:val="none"/>
        </w:rPr>
        <w:tab/>
      </w:r>
      <w:r>
        <w:rPr>
          <w:rFonts w:hint="eastAsia" w:ascii="宋体" w:hAnsi="宋体" w:cs="宋体"/>
          <w:b/>
          <w:bCs/>
          <w:color w:val="auto"/>
          <w:szCs w:val="21"/>
          <w:highlight w:val="none"/>
        </w:rPr>
        <w:t>劳务派遣人员的退回</w:t>
      </w:r>
    </w:p>
    <w:p w14:paraId="5D4845D5">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当劳务派遣人员出现包括但不限于下列情形的，甲方有权将其无条件退回乙方，由乙方处理。</w:t>
      </w:r>
    </w:p>
    <w:p w14:paraId="4C399642">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在劳务派遣人员合同试用期内被证明不符合录用条件，以及以欺诈等手段隐瞒真实情况、获取派遣至甲方工作岗位的；</w:t>
      </w:r>
    </w:p>
    <w:p w14:paraId="59E2B705">
      <w:pPr>
        <w:spacing w:line="520" w:lineRule="exact"/>
        <w:ind w:firstLine="415" w:firstLineChars="198"/>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严重违反甲方劳动纪律和各项管理规章制度</w:t>
      </w:r>
      <w:r>
        <w:rPr>
          <w:rFonts w:hint="eastAsia" w:ascii="宋体" w:hAnsi="宋体" w:cs="宋体"/>
          <w:color w:val="auto"/>
          <w:szCs w:val="21"/>
          <w:highlight w:val="none"/>
          <w:lang w:eastAsia="zh-CN"/>
        </w:rPr>
        <w:t>、作业标准、职责要</w:t>
      </w:r>
      <w:r>
        <w:rPr>
          <w:rFonts w:hint="eastAsia" w:ascii="宋体" w:hAnsi="宋体" w:eastAsia="宋体" w:cs="宋体"/>
          <w:color w:val="auto"/>
          <w:szCs w:val="21"/>
          <w:highlight w:val="none"/>
          <w:lang w:eastAsia="zh-CN"/>
        </w:rPr>
        <w:t>求</w:t>
      </w:r>
      <w:r>
        <w:rPr>
          <w:rFonts w:hint="eastAsia" w:ascii="宋体" w:hAnsi="宋体" w:eastAsia="宋体" w:cs="宋体"/>
          <w:color w:val="auto"/>
          <w:szCs w:val="21"/>
          <w:highlight w:val="none"/>
        </w:rPr>
        <w:t xml:space="preserve">的；不能按规定接受、完成领导安排的其他工作的；工作能力不足等原因造成所负责的工作不能正常进行，或不能保证工作质量的；其他损害甲方利益给甲方造成损失或不良影响的行为； </w:t>
      </w:r>
    </w:p>
    <w:p w14:paraId="77428187">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严重失职，营私舞弊，给甲方造成重大损害的；</w:t>
      </w:r>
    </w:p>
    <w:p w14:paraId="57022D82">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劳务派遣人员与其他单位建立劳动关系或劳务关系，对完成甲方工作任务造成严重影响，经提出拒不改正的；</w:t>
      </w:r>
    </w:p>
    <w:p w14:paraId="036E26B8">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被依法追究刑事责任的；</w:t>
      </w:r>
    </w:p>
    <w:p w14:paraId="3BF6E561">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因甲方重大技术革新或者经营方式调整（包括管理变更、项目取消等），需要裁減人员时；</w:t>
      </w:r>
    </w:p>
    <w:p w14:paraId="6A8DEC21">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劳务派遣人员患病或非因工负伤，医疗期满后不能从事原工作，也不能从事甲方另行安排工作的；</w:t>
      </w:r>
    </w:p>
    <w:p w14:paraId="1FA1116E">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劳务派遣人员不能胜任工作，经培训或调整岗位考核，仍不能胜任工作的；</w:t>
      </w:r>
    </w:p>
    <w:p w14:paraId="7D88F25B">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劳务派遣人员劳动合同到期或派遣期限到期的</w:t>
      </w:r>
      <w:r>
        <w:rPr>
          <w:rFonts w:hint="eastAsia" w:ascii="宋体" w:hAnsi="宋体" w:cs="宋体"/>
          <w:color w:val="auto"/>
          <w:szCs w:val="21"/>
          <w:highlight w:val="none"/>
          <w:lang w:eastAsia="zh-CN"/>
        </w:rPr>
        <w:t>。</w:t>
      </w:r>
    </w:p>
    <w:p w14:paraId="4393DDF2">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劳务派遣人员退回程序</w:t>
      </w:r>
    </w:p>
    <w:p w14:paraId="7656851F">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甲方向乙方发出《劳务派遣人员退回通知书》；</w:t>
      </w:r>
    </w:p>
    <w:p w14:paraId="0A47BF30">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劳务派遣人员因出现本协议第</w:t>
      </w:r>
      <w:r>
        <w:rPr>
          <w:rFonts w:hint="eastAsia" w:ascii="宋体" w:hAnsi="宋体" w:cs="宋体"/>
          <w:color w:val="auto"/>
          <w:szCs w:val="21"/>
          <w:highlight w:val="none"/>
          <w:lang w:eastAsia="zh-CN"/>
        </w:rPr>
        <w:t>六</w:t>
      </w:r>
      <w:r>
        <w:rPr>
          <w:rFonts w:hint="eastAsia" w:ascii="宋体" w:hAnsi="宋体" w:cs="宋体"/>
          <w:color w:val="auto"/>
          <w:szCs w:val="21"/>
          <w:highlight w:val="none"/>
        </w:rPr>
        <w:t>条（一）前</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款情形需要退回乙方的，自《劳务派遣人员退回通知书》送达乙方之日起，甲方不再履行对退回劳务派遣人员的一切义务；</w:t>
      </w:r>
    </w:p>
    <w:p w14:paraId="47358AB8">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劳务派遣人员因出现本协议第</w:t>
      </w:r>
      <w:r>
        <w:rPr>
          <w:rFonts w:hint="eastAsia" w:ascii="宋体" w:hAnsi="宋体" w:cs="宋体"/>
          <w:color w:val="auto"/>
          <w:szCs w:val="21"/>
          <w:highlight w:val="none"/>
          <w:lang w:eastAsia="zh-CN"/>
        </w:rPr>
        <w:t>六</w:t>
      </w:r>
      <w:r>
        <w:rPr>
          <w:rFonts w:hint="eastAsia" w:ascii="宋体" w:hAnsi="宋体" w:cs="宋体"/>
          <w:color w:val="auto"/>
          <w:szCs w:val="21"/>
          <w:highlight w:val="none"/>
        </w:rPr>
        <w:t>条（一）第</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款至第</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款情形需要退回乙方的，甲方应提前30日将《劳务派遣人员退回通知书》送达乙方。</w:t>
      </w:r>
    </w:p>
    <w:p w14:paraId="544CC3BF">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乙方接到甲方送交的《劳务派遣人员退回通知书》后，应在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个工作日内向甲方发出《劳务派遣人员退回通知书回执》；</w:t>
      </w:r>
    </w:p>
    <w:p w14:paraId="2891FEC0">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甲方协助乙方办理相关退回手续</w:t>
      </w:r>
      <w:r>
        <w:rPr>
          <w:rFonts w:hint="eastAsia" w:ascii="宋体" w:hAnsi="宋体" w:cs="宋体"/>
          <w:color w:val="auto"/>
          <w:szCs w:val="21"/>
          <w:highlight w:val="none"/>
          <w:lang w:eastAsia="zh-CN"/>
        </w:rPr>
        <w:t>。</w:t>
      </w:r>
    </w:p>
    <w:p w14:paraId="0F96AE47">
      <w:pPr>
        <w:spacing w:line="52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ascii="宋体" w:hAnsi="宋体" w:cs="宋体"/>
          <w:b/>
          <w:bCs/>
          <w:color w:val="auto"/>
          <w:szCs w:val="21"/>
          <w:highlight w:val="none"/>
        </w:rPr>
        <w:t>条</w:t>
      </w:r>
      <w:r>
        <w:rPr>
          <w:rFonts w:hint="eastAsia" w:ascii="宋体" w:hAnsi="宋体" w:cs="宋体"/>
          <w:b/>
          <w:bCs/>
          <w:color w:val="auto"/>
          <w:szCs w:val="21"/>
          <w:highlight w:val="none"/>
        </w:rPr>
        <w:tab/>
      </w:r>
      <w:r>
        <w:rPr>
          <w:rFonts w:hint="eastAsia" w:ascii="宋体" w:hAnsi="宋体" w:cs="宋体"/>
          <w:b/>
          <w:bCs/>
          <w:color w:val="auto"/>
          <w:szCs w:val="21"/>
          <w:highlight w:val="none"/>
        </w:rPr>
        <w:t>考核和服务监督</w:t>
      </w:r>
    </w:p>
    <w:p w14:paraId="7748A634">
      <w:pPr>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1.甲方使用部门</w:t>
      </w:r>
      <w:r>
        <w:rPr>
          <w:rFonts w:hint="eastAsia" w:ascii="宋体" w:hAnsi="宋体" w:cs="宋体"/>
          <w:color w:val="auto"/>
          <w:szCs w:val="21"/>
          <w:highlight w:val="none"/>
          <w:lang w:eastAsia="zh-CN"/>
        </w:rPr>
        <w:t>负责</w:t>
      </w:r>
      <w:r>
        <w:rPr>
          <w:rFonts w:hint="eastAsia" w:ascii="宋体" w:hAnsi="宋体" w:cs="宋体"/>
          <w:color w:val="auto"/>
          <w:szCs w:val="21"/>
          <w:highlight w:val="none"/>
        </w:rPr>
        <w:t>对派遣人员的德、能、勤、绩、廉方面进行日常监督和考核，</w:t>
      </w:r>
      <w:r>
        <w:rPr>
          <w:rFonts w:hint="eastAsia" w:ascii="宋体" w:hAnsi="宋体" w:cs="宋体"/>
          <w:color w:val="auto"/>
          <w:szCs w:val="21"/>
          <w:highlight w:val="none"/>
          <w:lang w:eastAsia="zh-CN"/>
        </w:rPr>
        <w:t>并及时将</w:t>
      </w:r>
      <w:r>
        <w:rPr>
          <w:rFonts w:hint="eastAsia" w:ascii="宋体" w:hAnsi="宋体" w:cs="宋体"/>
          <w:color w:val="auto"/>
          <w:szCs w:val="21"/>
          <w:highlight w:val="none"/>
        </w:rPr>
        <w:t>考核结果交给甲方。</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将考核中发现的问题书面反馈给乙方，乙方应虚心接受并积极免费进行整改，直至甲方满意。</w:t>
      </w:r>
    </w:p>
    <w:p w14:paraId="42BEA423">
      <w:pPr>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.根据合同内容双方共同制定、签署《考核评分表》，</w:t>
      </w:r>
      <w:r>
        <w:rPr>
          <w:rFonts w:hint="eastAsia" w:ascii="宋体" w:hAnsi="宋体" w:cs="宋体"/>
          <w:color w:val="auto"/>
          <w:szCs w:val="21"/>
          <w:highlight w:val="none"/>
          <w:lang w:eastAsia="zh-CN"/>
        </w:rPr>
        <w:t>甲方</w:t>
      </w:r>
      <w:r>
        <w:rPr>
          <w:rFonts w:hint="eastAsia" w:ascii="宋体" w:hAnsi="宋体" w:eastAsia="宋体" w:cs="宋体"/>
          <w:sz w:val="21"/>
          <w:szCs w:val="21"/>
          <w:u w:val="single"/>
          <w:lang w:val="en-US" w:eastAsia="zh-CN"/>
        </w:rPr>
        <w:t>定期或者不定期对</w:t>
      </w:r>
      <w:r>
        <w:rPr>
          <w:rFonts w:hint="eastAsia" w:ascii="宋体" w:hAnsi="宋体" w:cs="宋体"/>
          <w:sz w:val="21"/>
          <w:szCs w:val="21"/>
          <w:u w:val="single"/>
          <w:lang w:val="en-US" w:eastAsia="zh-CN"/>
        </w:rPr>
        <w:t>乙方</w:t>
      </w:r>
      <w:r>
        <w:rPr>
          <w:rFonts w:hint="eastAsia" w:ascii="宋体" w:hAnsi="宋体" w:eastAsia="宋体" w:cs="宋体"/>
          <w:sz w:val="21"/>
          <w:szCs w:val="21"/>
          <w:u w:val="single"/>
          <w:lang w:val="en-US" w:eastAsia="zh-CN"/>
        </w:rPr>
        <w:t>派遣技术人员服务质量进行日常考核，除此之外，</w:t>
      </w:r>
      <w:r>
        <w:rPr>
          <w:rFonts w:hint="eastAsia" w:ascii="宋体" w:hAnsi="宋体" w:cs="宋体"/>
          <w:sz w:val="21"/>
          <w:szCs w:val="21"/>
          <w:u w:val="single"/>
          <w:lang w:val="en-US" w:eastAsia="zh-CN"/>
        </w:rPr>
        <w:t>甲方</w:t>
      </w:r>
      <w:r>
        <w:rPr>
          <w:rFonts w:hint="eastAsia" w:ascii="宋体" w:hAnsi="宋体" w:eastAsia="宋体" w:cs="宋体"/>
          <w:sz w:val="21"/>
          <w:szCs w:val="21"/>
          <w:u w:val="single"/>
          <w:lang w:val="en-US" w:eastAsia="zh-CN"/>
        </w:rPr>
        <w:t>每年对劳务派遣服务公司按照劳务合同要求及服务质量进行综合考评。</w:t>
      </w:r>
      <w:r>
        <w:rPr>
          <w:rFonts w:hint="eastAsia" w:ascii="宋体" w:hAnsi="宋体" w:cs="宋体"/>
          <w:color w:val="auto"/>
          <w:szCs w:val="21"/>
          <w:highlight w:val="none"/>
        </w:rPr>
        <w:t>考评满意度＞90%为优秀，80%-90%为良好，70%-80%为合格，＜70%视为不合格，考评满意度低于70分者，</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有权利单方面提前终止劳务合同，由于提前终止合同带来的相关经济损失由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承担。由此引起甲方损失及赔偿责任由乙方承担。</w:t>
      </w:r>
    </w:p>
    <w:p w14:paraId="31543C9C">
      <w:pPr>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.如果合同双方对《考核评分表》有分歧，双方须于出现分歧后 3天内给对方书面声明，以陈述己方的理由及要求，并附有关证据。分歧应通过协商解决。</w:t>
      </w:r>
    </w:p>
    <w:p w14:paraId="69C5079E">
      <w:pPr>
        <w:spacing w:line="52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w:t>
      </w: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条</w:t>
      </w:r>
      <w:r>
        <w:rPr>
          <w:rFonts w:hint="eastAsia" w:ascii="宋体" w:hAnsi="宋体" w:cs="宋体"/>
          <w:b/>
          <w:bCs/>
          <w:color w:val="auto"/>
          <w:szCs w:val="21"/>
          <w:highlight w:val="none"/>
        </w:rPr>
        <w:tab/>
      </w:r>
      <w:r>
        <w:rPr>
          <w:rFonts w:hint="eastAsia" w:ascii="宋体" w:hAnsi="宋体" w:cs="宋体"/>
          <w:b/>
          <w:bCs/>
          <w:color w:val="auto"/>
          <w:szCs w:val="21"/>
          <w:highlight w:val="none"/>
        </w:rPr>
        <w:t>劳务派遣服务管理</w:t>
      </w:r>
    </w:p>
    <w:p w14:paraId="319BBCC9">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乙方要指定不少于1人全权全程负责本项目服务的落实，负责派遣人员的日常管理事务。</w:t>
      </w:r>
    </w:p>
    <w:p w14:paraId="396B40CC">
      <w:pPr>
        <w:spacing w:line="52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项目负责人姓名：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7EFD43A4">
      <w:pPr>
        <w:spacing w:line="520" w:lineRule="atLeas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第</w:t>
      </w:r>
      <w:r>
        <w:rPr>
          <w:rFonts w:hint="eastAsia" w:ascii="宋体" w:hAnsi="宋体" w:cs="宋体"/>
          <w:b/>
          <w:bCs/>
          <w:color w:val="auto"/>
          <w:szCs w:val="21"/>
          <w:highlight w:val="none"/>
          <w:lang w:eastAsia="zh-CN"/>
        </w:rPr>
        <w:t>九</w:t>
      </w:r>
      <w:r>
        <w:rPr>
          <w:rFonts w:hint="eastAsia" w:ascii="宋体" w:hAnsi="宋体" w:cs="宋体"/>
          <w:b/>
          <w:bCs/>
          <w:color w:val="auto"/>
          <w:szCs w:val="21"/>
          <w:highlight w:val="none"/>
        </w:rPr>
        <w:t>条 履约保证金</w:t>
      </w:r>
    </w:p>
    <w:p w14:paraId="34BA1F0F">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1.乙方在</w:t>
      </w:r>
      <w:r>
        <w:rPr>
          <w:rFonts w:hint="eastAsia" w:ascii="宋体" w:hAnsi="宋体" w:cs="宋体"/>
          <w:color w:val="auto"/>
          <w:szCs w:val="21"/>
          <w:highlight w:val="none"/>
          <w:lang w:eastAsia="zh-CN"/>
        </w:rPr>
        <w:t>收到中标通知书后</w:t>
      </w:r>
      <w:r>
        <w:rPr>
          <w:rFonts w:hint="eastAsia" w:ascii="宋体" w:hAnsi="宋体" w:cs="宋体"/>
          <w:color w:val="auto"/>
          <w:szCs w:val="21"/>
          <w:highlight w:val="none"/>
        </w:rPr>
        <w:t xml:space="preserve">，向甲方提交履约保证金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万元 </w:t>
      </w:r>
      <w:r>
        <w:rPr>
          <w:rFonts w:hint="eastAsia" w:ascii="宋体" w:hAnsi="宋体" w:cs="宋体"/>
          <w:color w:val="auto"/>
          <w:szCs w:val="21"/>
          <w:highlight w:val="none"/>
        </w:rPr>
        <w:t>。</w:t>
      </w:r>
    </w:p>
    <w:p w14:paraId="64FCA726">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协议期满，甲方考核服务质量合格后 30日内</w:t>
      </w:r>
      <w:r>
        <w:rPr>
          <w:rFonts w:hint="eastAsia" w:ascii="宋体" w:hAnsi="宋体" w:cs="宋体"/>
          <w:color w:val="auto"/>
          <w:szCs w:val="21"/>
          <w:highlight w:val="none"/>
        </w:rPr>
        <w:t>，甲方向乙方无息退还</w:t>
      </w:r>
      <w:r>
        <w:rPr>
          <w:rFonts w:hint="eastAsia" w:ascii="宋体" w:hAnsi="宋体" w:cs="宋体"/>
          <w:color w:val="auto"/>
          <w:szCs w:val="21"/>
          <w:highlight w:val="none"/>
          <w:lang w:val="en-US" w:eastAsia="zh-CN"/>
        </w:rPr>
        <w:t>履约保证金</w:t>
      </w:r>
      <w:r>
        <w:rPr>
          <w:rFonts w:hint="eastAsia" w:ascii="宋体" w:hAnsi="宋体" w:cs="宋体"/>
          <w:color w:val="auto"/>
          <w:szCs w:val="21"/>
          <w:highlight w:val="none"/>
        </w:rPr>
        <w:t>。</w:t>
      </w:r>
    </w:p>
    <w:p w14:paraId="053FE54E">
      <w:pPr>
        <w:spacing w:line="520" w:lineRule="atLeast"/>
        <w:ind w:firstLine="420" w:firstLineChars="200"/>
        <w:rPr>
          <w:color w:val="auto"/>
          <w:highlight w:val="none"/>
        </w:rPr>
      </w:pPr>
      <w:r>
        <w:rPr>
          <w:rFonts w:hint="eastAsia" w:ascii="宋体" w:hAnsi="宋体" w:cs="宋体"/>
          <w:color w:val="auto"/>
          <w:szCs w:val="21"/>
          <w:highlight w:val="none"/>
        </w:rPr>
        <w:t>3.如乙方未能按时限履行、或未能完全履行合同规定的义务，甲方有权从履约保证金中扣除年合同总金额5%的违约金。</w:t>
      </w:r>
    </w:p>
    <w:p w14:paraId="2F7B41DD">
      <w:pPr>
        <w:spacing w:line="52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第十条</w:t>
      </w:r>
      <w:r>
        <w:rPr>
          <w:rFonts w:hint="eastAsia" w:ascii="宋体" w:hAnsi="宋体" w:cs="宋体"/>
          <w:b/>
          <w:bCs/>
          <w:color w:val="auto"/>
          <w:szCs w:val="21"/>
          <w:highlight w:val="none"/>
        </w:rPr>
        <w:tab/>
      </w:r>
      <w:r>
        <w:rPr>
          <w:rFonts w:hint="eastAsia" w:ascii="宋体" w:hAnsi="宋体" w:cs="宋体"/>
          <w:b/>
          <w:bCs/>
          <w:color w:val="auto"/>
          <w:szCs w:val="21"/>
          <w:highlight w:val="none"/>
        </w:rPr>
        <w:t>具有下列情形之一，甲方有权解除合同：</w:t>
      </w:r>
    </w:p>
    <w:p w14:paraId="3B655880">
      <w:pPr>
        <w:spacing w:line="520" w:lineRule="atLeast"/>
        <w:ind w:firstLine="420" w:firstLineChars="200"/>
        <w:rPr>
          <w:rFonts w:hint="default"/>
          <w:color w:val="auto"/>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如乙方进行清算或进入破产程序；</w:t>
      </w:r>
    </w:p>
    <w:p w14:paraId="2F09A8DB">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乙方员工因其职责范围的过错给甲方造成巨大的财产损失的；</w:t>
      </w:r>
    </w:p>
    <w:p w14:paraId="7039FADA">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.乙方的劳务派遣人员因违法违规造成恶劣影响的；</w:t>
      </w:r>
    </w:p>
    <w:p w14:paraId="0CCDF591">
      <w:pPr>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.在合同期内，甲方对乙方的服务、承诺进行考评，反馈的问题在经过两次限期整改后，服务仍达不到合同文件规定内容的，甲方有权解除合同；</w:t>
      </w:r>
    </w:p>
    <w:p w14:paraId="39BB1108">
      <w:pPr>
        <w:spacing w:line="520" w:lineRule="atLeas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甲方每年对乙方按照劳务合同要求及服务质量综合考评，考评满意度＞90%为优秀，80%-90%为良好，70%-80%为合格，＜70%视为不合格，考评满意度低于70分者，甲方有权利单方面提前终止劳务合同，由于提前终止合同带来的相关经济损失由乙方承担。</w:t>
      </w:r>
    </w:p>
    <w:p w14:paraId="634ABB12">
      <w:pPr>
        <w:spacing w:line="52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条</w:t>
      </w:r>
      <w:r>
        <w:rPr>
          <w:rFonts w:hint="eastAsia" w:ascii="宋体" w:hAnsi="宋体" w:cs="宋体"/>
          <w:b/>
          <w:bCs/>
          <w:color w:val="auto"/>
          <w:szCs w:val="21"/>
          <w:highlight w:val="none"/>
        </w:rPr>
        <w:tab/>
      </w:r>
      <w:r>
        <w:rPr>
          <w:rFonts w:hint="eastAsia" w:ascii="宋体" w:hAnsi="宋体" w:cs="宋体"/>
          <w:b/>
          <w:bCs/>
          <w:color w:val="auto"/>
          <w:szCs w:val="21"/>
          <w:highlight w:val="none"/>
        </w:rPr>
        <w:t>违约责任</w:t>
      </w:r>
    </w:p>
    <w:p w14:paraId="276FEC97">
      <w:pPr>
        <w:spacing w:line="520" w:lineRule="atLeast"/>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1. 合同签订后，甲乙双方均不得擅自将合同中所规定的权利、义务转让。否则，违约方应向对方支付合同年总价款30%的违约金。</w:t>
      </w:r>
    </w:p>
    <w:p w14:paraId="53074799">
      <w:pPr>
        <w:spacing w:line="520" w:lineRule="atLeast"/>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2.如因乙方原因，未按要求履行约定的造成不能完成劳务派遣任务，或直接造成甲方经济损失以及造成损害的，乙方除对派遣员工进行处理外，还应承担相关经济损失。</w:t>
      </w:r>
    </w:p>
    <w:p w14:paraId="20FDF949">
      <w:pPr>
        <w:spacing w:line="520" w:lineRule="atLeast"/>
        <w:ind w:firstLine="420" w:firstLineChars="200"/>
        <w:rPr>
          <w:rFonts w:ascii="宋体" w:hAnsi="宋体" w:cs="宋体"/>
          <w:color w:val="auto"/>
          <w:szCs w:val="21"/>
          <w:highlight w:val="none"/>
          <w:lang w:bidi="zh-CN"/>
        </w:rPr>
      </w:pPr>
      <w:r>
        <w:rPr>
          <w:rFonts w:hint="eastAsia" w:ascii="宋体" w:hAnsi="宋体" w:cs="宋体"/>
          <w:color w:val="auto"/>
          <w:szCs w:val="21"/>
          <w:highlight w:val="none"/>
          <w:lang w:bidi="zh-CN"/>
        </w:rPr>
        <w:t>3.乙方挪用甲方支付的劳服务费，除承担由此引发的一切法律责任外，甲方有权中止服务合同并追究违约责任。</w:t>
      </w:r>
    </w:p>
    <w:p w14:paraId="7B2CB81C">
      <w:pPr>
        <w:spacing w:line="520" w:lineRule="atLeast"/>
        <w:ind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4. 因乙方原因导致违约，本合同无法履行等情形造成甲方损失的，乙方除承担违约责任外，还应支付甲方一切相关费用，包括但不限于诉讼费、保全费、鉴定费、律师费、交通费。</w:t>
      </w:r>
    </w:p>
    <w:p w14:paraId="553BD366">
      <w:pPr>
        <w:spacing w:line="520" w:lineRule="exact"/>
        <w:ind w:firstLine="420" w:firstLineChars="200"/>
        <w:rPr>
          <w:rFonts w:hint="default" w:ascii="宋体" w:hAnsi="宋体" w:eastAsia="宋体" w:cs="宋体"/>
          <w:color w:val="auto"/>
          <w:szCs w:val="21"/>
          <w:highlight w:val="none"/>
          <w:lang w:val="en-US" w:bidi="zh-CN"/>
        </w:rPr>
      </w:pPr>
      <w:r>
        <w:rPr>
          <w:rFonts w:hint="eastAsia" w:ascii="宋体" w:hAnsi="宋体" w:cs="宋体"/>
          <w:color w:val="auto"/>
          <w:szCs w:val="21"/>
          <w:highlight w:val="none"/>
          <w:lang w:val="en-US" w:bidi="zh-CN"/>
        </w:rPr>
        <w:t>5.</w:t>
      </w:r>
      <w:r>
        <w:rPr>
          <w:rFonts w:hint="eastAsia" w:ascii="宋体" w:hAnsi="宋体" w:eastAsia="宋体" w:cs="宋体"/>
          <w:color w:val="auto"/>
          <w:szCs w:val="21"/>
          <w:highlight w:val="none"/>
          <w:lang w:bidi="zh-CN"/>
        </w:rPr>
        <w:t>乙方存在拖欠员工工资或未按规定为员工缴纳社会保险的，甲方督促乙方及时发放或及时（补）缴纳、购买，并扣除履约保证金3000元/次，给甲方造成不良影响的，扣除履约保证金10000元/次，拖欠或未缴纳情形出现两次以上的，甲方有权解除本合同，不退还履约保证金。同时因乙方拖欠员工工资或未按规定为员工缴纳社会保险产生的任何纠纷与法律责任均由乙方自行承担，给甲方造成损失的，乙方应予以赔偿。</w:t>
      </w:r>
    </w:p>
    <w:p w14:paraId="76DEEBCE">
      <w:pPr>
        <w:spacing w:line="520" w:lineRule="atLeas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第十</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条</w:t>
      </w:r>
      <w:r>
        <w:rPr>
          <w:rFonts w:hint="eastAsia" w:ascii="宋体" w:hAnsi="宋体" w:cs="宋体"/>
          <w:b/>
          <w:bCs/>
          <w:color w:val="auto"/>
          <w:szCs w:val="21"/>
          <w:highlight w:val="none"/>
        </w:rPr>
        <w:tab/>
      </w:r>
      <w:r>
        <w:rPr>
          <w:rFonts w:hint="eastAsia" w:ascii="宋体" w:hAnsi="宋体" w:cs="宋体"/>
          <w:b/>
          <w:bCs/>
          <w:color w:val="auto"/>
          <w:szCs w:val="21"/>
          <w:highlight w:val="none"/>
          <w:lang w:eastAsia="zh-CN"/>
        </w:rPr>
        <w:t>本协议履行中相关问题的处理</w:t>
      </w:r>
    </w:p>
    <w:p w14:paraId="3CA056C0">
      <w:pPr>
        <w:spacing w:line="520" w:lineRule="atLeast"/>
        <w:ind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val="en-US" w:bidi="zh-CN"/>
        </w:rPr>
        <w:t>1.</w:t>
      </w:r>
      <w:r>
        <w:rPr>
          <w:rFonts w:hint="eastAsia" w:ascii="宋体" w:hAnsi="宋体" w:cs="宋体"/>
          <w:color w:val="auto"/>
          <w:szCs w:val="21"/>
          <w:highlight w:val="none"/>
          <w:lang w:bidi="zh-CN"/>
        </w:rPr>
        <w:t>本协议履行过程中，若甲乙双方或某一方变更名称、法定代表人或者主要负责人、投资人等事项，不影响本协议履行；若甲乙双方或某一方发生合并或分立等情况，本协议继续有效，由承继单位继续履行；</w:t>
      </w:r>
    </w:p>
    <w:p w14:paraId="6DCAE7CC">
      <w:pPr>
        <w:spacing w:line="520" w:lineRule="atLeast"/>
        <w:ind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val="en-US" w:bidi="zh-CN"/>
        </w:rPr>
        <w:t>2.</w:t>
      </w:r>
      <w:r>
        <w:rPr>
          <w:rFonts w:hint="eastAsia" w:ascii="宋体" w:hAnsi="宋体" w:cs="宋体"/>
          <w:color w:val="auto"/>
          <w:szCs w:val="21"/>
          <w:highlight w:val="none"/>
          <w:lang w:bidi="zh-CN"/>
        </w:rPr>
        <w:t>双方协商一致，可以变更本协议，涉及劳务派遣人员切身利益的条款内容变更时，不得侵害劳务派遣人员合法权益，并由乙方将变更内容以书面形式告知劳务派遣人员；</w:t>
      </w:r>
    </w:p>
    <w:p w14:paraId="557A72DC">
      <w:pPr>
        <w:spacing w:line="520" w:lineRule="atLeast"/>
        <w:ind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val="en-US" w:bidi="zh-CN"/>
        </w:rPr>
        <w:t>3.</w:t>
      </w:r>
      <w:r>
        <w:rPr>
          <w:rFonts w:hint="eastAsia" w:ascii="宋体" w:hAnsi="宋体" w:cs="宋体"/>
          <w:color w:val="auto"/>
          <w:szCs w:val="21"/>
          <w:highlight w:val="none"/>
          <w:lang w:bidi="zh-CN"/>
        </w:rPr>
        <w:t>本协议未尽事宜，法律法规有规定的，按法律法规规定执行；法律法规没有规定的，由双方协商后另行签署补充协议，作为本协议附件；</w:t>
      </w:r>
    </w:p>
    <w:p w14:paraId="2759C10D">
      <w:pPr>
        <w:spacing w:line="520" w:lineRule="atLeast"/>
        <w:ind w:firstLine="420" w:firstLineChars="200"/>
        <w:rPr>
          <w:rFonts w:hint="eastAsia" w:ascii="宋体" w:hAnsi="宋体" w:cs="宋体"/>
          <w:szCs w:val="21"/>
          <w:highlight w:val="none"/>
          <w:lang w:bidi="zh-CN"/>
        </w:rPr>
      </w:pPr>
      <w:r>
        <w:rPr>
          <w:rFonts w:hint="eastAsia" w:ascii="宋体" w:hAnsi="宋体" w:cs="宋体"/>
          <w:color w:val="auto"/>
          <w:szCs w:val="21"/>
          <w:highlight w:val="none"/>
          <w:lang w:val="en-US" w:bidi="zh-CN"/>
        </w:rPr>
        <w:t>4.</w:t>
      </w:r>
      <w:r>
        <w:rPr>
          <w:rFonts w:hint="eastAsia" w:ascii="宋体" w:hAnsi="宋体" w:cs="宋体"/>
          <w:color w:val="auto"/>
          <w:szCs w:val="21"/>
          <w:highlight w:val="none"/>
          <w:lang w:bidi="zh-CN"/>
        </w:rPr>
        <w:t>本协议期满双方不再续约或者因一方违约而提前解除协议，则本协议终止。</w:t>
      </w:r>
      <w:r>
        <w:rPr>
          <w:rFonts w:hint="eastAsia" w:ascii="宋体" w:hAnsi="宋体" w:cs="宋体"/>
          <w:szCs w:val="21"/>
          <w:highlight w:val="none"/>
          <w:lang w:bidi="zh-CN"/>
        </w:rPr>
        <w:t>但协议的解除不得损害劳务派遣人员的利益，双方应为此做出合理安排，任何一方违反法律规定解除或终止本协议，给劳务派遣人员造成损失的，应当按《劳动合同法》相关规定处理</w:t>
      </w:r>
    </w:p>
    <w:p w14:paraId="00CF4483">
      <w:pPr>
        <w:spacing w:line="520" w:lineRule="atLeast"/>
        <w:ind w:firstLine="420" w:firstLineChars="200"/>
        <w:rPr>
          <w:rFonts w:hint="eastAsia" w:ascii="宋体" w:hAnsi="宋体" w:cs="宋体"/>
          <w:szCs w:val="21"/>
          <w:highlight w:val="none"/>
          <w:lang w:bidi="zh-CN"/>
        </w:rPr>
      </w:pPr>
      <w:r>
        <w:rPr>
          <w:rFonts w:hint="eastAsia" w:ascii="宋体" w:hAnsi="宋体" w:cs="宋体"/>
          <w:szCs w:val="21"/>
          <w:highlight w:val="none"/>
          <w:lang w:val="en-US" w:bidi="zh-CN"/>
        </w:rPr>
        <w:t>5.</w:t>
      </w:r>
      <w:r>
        <w:rPr>
          <w:rFonts w:hint="eastAsia" w:ascii="宋体" w:hAnsi="宋体" w:cs="宋体"/>
          <w:szCs w:val="21"/>
          <w:highlight w:val="none"/>
          <w:lang w:bidi="zh-CN"/>
        </w:rPr>
        <w:t>甲乙双方如欲终止或解除协议，应提前30天以书面形式通知对方，否则应承担由此给对方带来的损失及违约责任。因一方的违约行为导致另一方提前解除协议的除外；</w:t>
      </w:r>
    </w:p>
    <w:p w14:paraId="2BED7540">
      <w:pPr>
        <w:spacing w:line="520" w:lineRule="atLeast"/>
        <w:ind w:firstLine="422" w:firstLineChars="200"/>
        <w:rPr>
          <w:rFonts w:ascii="宋体" w:hAnsi="宋体" w:cs="宋体"/>
          <w:b/>
          <w:bCs/>
          <w:szCs w:val="21"/>
          <w:highlight w:val="none"/>
        </w:rPr>
      </w:pPr>
      <w:r>
        <w:rPr>
          <w:rFonts w:hint="eastAsia" w:ascii="宋体" w:hAnsi="宋体" w:cs="宋体"/>
          <w:b/>
          <w:bCs/>
          <w:szCs w:val="21"/>
          <w:highlight w:val="none"/>
        </w:rPr>
        <w:t>第十</w:t>
      </w:r>
      <w:r>
        <w:rPr>
          <w:rFonts w:hint="eastAsia" w:ascii="宋体" w:hAnsi="宋体" w:cs="宋体"/>
          <w:b/>
          <w:bCs/>
          <w:szCs w:val="21"/>
          <w:highlight w:val="none"/>
          <w:lang w:eastAsia="zh-CN"/>
        </w:rPr>
        <w:t>三</w:t>
      </w:r>
      <w:r>
        <w:rPr>
          <w:rFonts w:hint="eastAsia" w:ascii="宋体" w:hAnsi="宋体" w:cs="宋体"/>
          <w:b/>
          <w:bCs/>
          <w:szCs w:val="21"/>
          <w:highlight w:val="none"/>
        </w:rPr>
        <w:t>条 争议的解决方式</w:t>
      </w:r>
    </w:p>
    <w:p w14:paraId="2FC2CE18">
      <w:pPr>
        <w:spacing w:line="520" w:lineRule="atLeast"/>
        <w:ind w:firstLine="420" w:firstLineChars="200"/>
        <w:rPr>
          <w:rFonts w:ascii="宋体" w:hAnsi="宋体" w:cs="宋体"/>
          <w:szCs w:val="21"/>
          <w:highlight w:val="none"/>
        </w:rPr>
      </w:pPr>
      <w:r>
        <w:rPr>
          <w:rFonts w:hint="eastAsia" w:ascii="宋体" w:hAnsi="宋体" w:cs="宋体"/>
          <w:szCs w:val="21"/>
          <w:highlight w:val="none"/>
        </w:rPr>
        <w:t>1. 因服务质量问题发生争议的，双方协商解决。</w:t>
      </w:r>
    </w:p>
    <w:p w14:paraId="230DE5C5">
      <w:pPr>
        <w:spacing w:line="520" w:lineRule="atLeast"/>
        <w:ind w:firstLine="420" w:firstLineChars="200"/>
        <w:rPr>
          <w:rFonts w:hint="eastAsia" w:ascii="宋体" w:hAnsi="宋体" w:cs="宋体"/>
          <w:szCs w:val="21"/>
          <w:highlight w:val="none"/>
        </w:rPr>
      </w:pPr>
      <w:r>
        <w:rPr>
          <w:rFonts w:hint="eastAsia" w:ascii="宋体" w:hAnsi="宋体" w:cs="宋体"/>
          <w:szCs w:val="21"/>
          <w:highlight w:val="none"/>
        </w:rPr>
        <w:t>2. 本协议在履行过程中发生争议，甲乙双方应友好协商解决；协商不成的，任何一方均可向甲方住所地有管辖权的法院提起诉讼，即甲乙各方均选择甲方住所地有管辖权的法院作为案件受理法院。</w:t>
      </w:r>
    </w:p>
    <w:p w14:paraId="52A05425">
      <w:pPr>
        <w:spacing w:line="520" w:lineRule="atLeast"/>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.在法院审理期间，除有争议部分外，本合同其他部分可以履行的仍应按合同条款继续履行。</w:t>
      </w:r>
    </w:p>
    <w:p w14:paraId="64DF25BC">
      <w:pPr>
        <w:spacing w:line="520" w:lineRule="atLeast"/>
        <w:ind w:firstLine="422" w:firstLineChars="200"/>
        <w:rPr>
          <w:rFonts w:ascii="宋体" w:hAnsi="宋体" w:cs="宋体"/>
          <w:szCs w:val="21"/>
          <w:highlight w:val="none"/>
        </w:rPr>
      </w:pPr>
      <w:r>
        <w:rPr>
          <w:rFonts w:hint="eastAsia" w:ascii="宋体" w:hAnsi="宋体" w:cs="宋体"/>
          <w:b/>
          <w:bCs/>
          <w:szCs w:val="21"/>
          <w:highlight w:val="none"/>
        </w:rPr>
        <w:t>第十</w:t>
      </w:r>
      <w:r>
        <w:rPr>
          <w:rFonts w:hint="eastAsia" w:ascii="宋体" w:hAnsi="宋体" w:cs="宋体"/>
          <w:b/>
          <w:bCs/>
          <w:szCs w:val="21"/>
          <w:highlight w:val="none"/>
          <w:lang w:eastAsia="zh-CN"/>
        </w:rPr>
        <w:t>四</w:t>
      </w:r>
      <w:r>
        <w:rPr>
          <w:rFonts w:hint="eastAsia" w:ascii="宋体" w:hAnsi="宋体" w:cs="宋体"/>
          <w:b/>
          <w:bCs/>
          <w:szCs w:val="21"/>
          <w:highlight w:val="none"/>
        </w:rPr>
        <w:t>条</w:t>
      </w:r>
      <w:r>
        <w:rPr>
          <w:rFonts w:hint="eastAsia" w:ascii="宋体" w:hAnsi="宋体" w:cs="宋体"/>
          <w:szCs w:val="21"/>
          <w:highlight w:val="none"/>
        </w:rPr>
        <w:t xml:space="preserve"> 合同的生效:本合同经甲乙双方或授权代表签字并加盖公章或合同专用章后生效。</w:t>
      </w:r>
    </w:p>
    <w:p w14:paraId="5B7D532E">
      <w:pPr>
        <w:spacing w:line="520" w:lineRule="atLeast"/>
        <w:ind w:firstLine="422" w:firstLineChars="200"/>
        <w:rPr>
          <w:rFonts w:ascii="宋体" w:hAnsi="宋体" w:cs="宋体"/>
          <w:szCs w:val="21"/>
          <w:highlight w:val="none"/>
        </w:rPr>
      </w:pPr>
      <w:r>
        <w:rPr>
          <w:rFonts w:hint="eastAsia" w:ascii="宋体" w:hAnsi="宋体" w:cs="宋体"/>
          <w:b/>
          <w:bCs/>
          <w:szCs w:val="21"/>
          <w:highlight w:val="none"/>
        </w:rPr>
        <w:t>第十</w:t>
      </w:r>
      <w:r>
        <w:rPr>
          <w:rFonts w:hint="eastAsia" w:ascii="宋体" w:hAnsi="宋体" w:cs="宋体"/>
          <w:b/>
          <w:bCs/>
          <w:szCs w:val="21"/>
          <w:highlight w:val="none"/>
          <w:lang w:eastAsia="zh-CN"/>
        </w:rPr>
        <w:t>五</w:t>
      </w:r>
      <w:r>
        <w:rPr>
          <w:rFonts w:hint="eastAsia" w:ascii="宋体" w:hAnsi="宋体" w:cs="宋体"/>
          <w:b/>
          <w:bCs/>
          <w:szCs w:val="21"/>
          <w:highlight w:val="none"/>
        </w:rPr>
        <w:t>条</w:t>
      </w:r>
      <w:r>
        <w:rPr>
          <w:rFonts w:hint="eastAsia" w:ascii="宋体" w:hAnsi="宋体" w:cs="宋体"/>
          <w:szCs w:val="21"/>
          <w:highlight w:val="none"/>
        </w:rPr>
        <w:tab/>
      </w:r>
      <w:r>
        <w:rPr>
          <w:rFonts w:hint="eastAsia" w:ascii="宋体" w:hAnsi="宋体" w:cs="宋体"/>
          <w:szCs w:val="21"/>
          <w:highlight w:val="none"/>
        </w:rPr>
        <w:t>本合同一式4份，甲、乙双方各执2份,具有同等效力。</w:t>
      </w:r>
    </w:p>
    <w:p w14:paraId="054ACAEB">
      <w:pPr>
        <w:spacing w:line="520" w:lineRule="atLeast"/>
        <w:ind w:firstLine="422" w:firstLineChars="200"/>
        <w:rPr>
          <w:rFonts w:ascii="宋体" w:hAnsi="宋体" w:cs="宋体"/>
          <w:b/>
          <w:bCs/>
          <w:szCs w:val="21"/>
          <w:highlight w:val="none"/>
          <w:lang w:eastAsia="zh-TW"/>
        </w:rPr>
      </w:pPr>
      <w:r>
        <w:rPr>
          <w:rFonts w:hint="eastAsia" w:ascii="宋体" w:hAnsi="宋体" w:cs="宋体"/>
          <w:b/>
          <w:bCs/>
          <w:szCs w:val="21"/>
          <w:highlight w:val="none"/>
        </w:rPr>
        <w:t>第十</w:t>
      </w:r>
      <w:r>
        <w:rPr>
          <w:rFonts w:hint="eastAsia" w:ascii="宋体" w:hAnsi="宋体" w:cs="宋体"/>
          <w:b/>
          <w:bCs/>
          <w:szCs w:val="21"/>
          <w:highlight w:val="none"/>
          <w:lang w:eastAsia="zh-CN"/>
        </w:rPr>
        <w:t>六</w:t>
      </w:r>
      <w:r>
        <w:rPr>
          <w:rFonts w:hint="eastAsia" w:ascii="宋体" w:hAnsi="宋体" w:cs="宋体"/>
          <w:b/>
          <w:bCs/>
          <w:szCs w:val="21"/>
          <w:highlight w:val="none"/>
        </w:rPr>
        <w:t>条</w:t>
      </w:r>
      <w:r>
        <w:rPr>
          <w:rFonts w:hint="eastAsia" w:ascii="宋体" w:hAnsi="宋体" w:cs="宋体"/>
          <w:szCs w:val="21"/>
          <w:highlight w:val="none"/>
        </w:rPr>
        <w:tab/>
      </w:r>
      <w:r>
        <w:rPr>
          <w:rFonts w:hint="eastAsia" w:ascii="宋体" w:hAnsi="宋体" w:cs="宋体"/>
          <w:szCs w:val="21"/>
          <w:highlight w:val="none"/>
        </w:rPr>
        <w:t>双方约定的其他事项：</w:t>
      </w:r>
    </w:p>
    <w:p w14:paraId="5681D7E8">
      <w:pPr>
        <w:spacing w:line="400" w:lineRule="exact"/>
        <w:ind w:firstLine="422" w:firstLineChars="200"/>
        <w:rPr>
          <w:rFonts w:ascii="宋体" w:hAnsi="宋体" w:cs="宋体"/>
          <w:b/>
          <w:bCs/>
          <w:szCs w:val="21"/>
          <w:highlight w:val="none"/>
          <w:lang w:eastAsia="zh-TW"/>
        </w:rPr>
      </w:pPr>
    </w:p>
    <w:p w14:paraId="2DD03E02">
      <w:pPr>
        <w:spacing w:line="52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w:t>
      </w:r>
      <w:r>
        <w:rPr>
          <w:rFonts w:hint="eastAsia" w:ascii="宋体" w:hAnsi="宋体" w:eastAsia="宋体" w:cs="宋体"/>
          <w:szCs w:val="21"/>
          <w:highlight w:val="none"/>
        </w:rPr>
        <w:tab/>
      </w:r>
      <w:r>
        <w:rPr>
          <w:rFonts w:hint="eastAsia" w:ascii="宋体" w:hAnsi="宋体" w:eastAsia="宋体" w:cs="宋体"/>
          <w:szCs w:val="21"/>
          <w:highlight w:val="none"/>
        </w:rPr>
        <w:t>方：</w:t>
      </w:r>
      <w:r>
        <w:rPr>
          <w:rFonts w:hint="eastAsia" w:ascii="宋体" w:hAnsi="宋体" w:eastAsia="宋体" w:cs="宋体"/>
          <w:szCs w:val="21"/>
          <w:highlight w:val="none"/>
        </w:rPr>
        <w:tab/>
      </w:r>
      <w:r>
        <w:rPr>
          <w:rFonts w:hint="eastAsia" w:ascii="宋体" w:hAnsi="宋体" w:eastAsia="宋体" w:cs="宋体"/>
          <w:szCs w:val="21"/>
          <w:highlight w:val="none"/>
        </w:rPr>
        <w:t xml:space="preserve">                                    乙</w:t>
      </w:r>
      <w:r>
        <w:rPr>
          <w:rFonts w:hint="eastAsia" w:ascii="宋体" w:hAnsi="宋体" w:eastAsia="宋体" w:cs="宋体"/>
          <w:szCs w:val="21"/>
          <w:highlight w:val="none"/>
        </w:rPr>
        <w:tab/>
      </w:r>
      <w:r>
        <w:rPr>
          <w:rFonts w:hint="eastAsia" w:ascii="宋体" w:hAnsi="宋体" w:eastAsia="宋体" w:cs="宋体"/>
          <w:szCs w:val="21"/>
          <w:highlight w:val="none"/>
        </w:rPr>
        <w:t>方：</w:t>
      </w:r>
    </w:p>
    <w:p w14:paraId="552EF567">
      <w:pPr>
        <w:spacing w:line="52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名 称：（盖章）</w:t>
      </w:r>
      <w:r>
        <w:rPr>
          <w:rFonts w:hint="eastAsia" w:ascii="宋体" w:hAnsi="宋体" w:eastAsia="宋体" w:cs="宋体"/>
          <w:szCs w:val="21"/>
          <w:highlight w:val="none"/>
        </w:rPr>
        <w:tab/>
      </w:r>
      <w:r>
        <w:rPr>
          <w:rFonts w:hint="eastAsia" w:ascii="宋体" w:hAnsi="宋体" w:eastAsia="宋体" w:cs="宋体"/>
          <w:szCs w:val="21"/>
          <w:highlight w:val="none"/>
        </w:rPr>
        <w:t xml:space="preserve">                                名  称：（盖章）</w:t>
      </w:r>
    </w:p>
    <w:p w14:paraId="4624D817">
      <w:pPr>
        <w:spacing w:line="52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rPr>
        <w:tab/>
      </w:r>
      <w:r>
        <w:rPr>
          <w:rFonts w:hint="eastAsia" w:ascii="宋体" w:hAnsi="宋体" w:eastAsia="宋体" w:cs="宋体"/>
          <w:szCs w:val="21"/>
          <w:highlight w:val="none"/>
        </w:rPr>
        <w:t xml:space="preserve">                                        地  址：</w:t>
      </w:r>
    </w:p>
    <w:p w14:paraId="55D90F4F">
      <w:pPr>
        <w:spacing w:line="52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rPr>
        <w:tab/>
      </w:r>
      <w:r>
        <w:rPr>
          <w:rFonts w:hint="eastAsia" w:ascii="宋体" w:hAnsi="宋体" w:eastAsia="宋体" w:cs="宋体"/>
          <w:szCs w:val="21"/>
          <w:highlight w:val="none"/>
        </w:rPr>
        <w:t xml:space="preserve">                                    法定代表人</w:t>
      </w:r>
    </w:p>
    <w:p w14:paraId="042F4E63">
      <w:pPr>
        <w:spacing w:line="52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或授权代表（签字）：</w:t>
      </w:r>
      <w:r>
        <w:rPr>
          <w:rFonts w:hint="eastAsia" w:ascii="宋体" w:hAnsi="宋体" w:eastAsia="宋体" w:cs="宋体"/>
          <w:szCs w:val="21"/>
          <w:highlight w:val="none"/>
        </w:rPr>
        <w:tab/>
      </w:r>
      <w:r>
        <w:rPr>
          <w:rFonts w:hint="eastAsia" w:ascii="宋体" w:hAnsi="宋体" w:eastAsia="宋体" w:cs="宋体"/>
          <w:szCs w:val="21"/>
          <w:highlight w:val="none"/>
        </w:rPr>
        <w:t xml:space="preserve">                        授权代表（签字）：</w:t>
      </w:r>
    </w:p>
    <w:p w14:paraId="0A42FDFD">
      <w:pPr>
        <w:spacing w:line="520" w:lineRule="atLeast"/>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年   月  日                              年   月  日</w:t>
      </w:r>
    </w:p>
    <w:p w14:paraId="77438863">
      <w:pPr>
        <w:spacing w:line="520" w:lineRule="atLeast"/>
        <w:ind w:firstLine="2310" w:firstLineChars="1100"/>
      </w:pPr>
    </w:p>
    <w:p w14:paraId="5F3EDEB3">
      <w:r>
        <w:rPr>
          <w:rFonts w:hint="eastAsia"/>
        </w:rPr>
        <w:br w:type="page"/>
      </w:r>
    </w:p>
    <w:p w14:paraId="2B64A2D0">
      <w:pPr>
        <w:numPr>
          <w:ilvl w:val="0"/>
          <w:numId w:val="4"/>
        </w:numPr>
        <w:wordWrap w:val="0"/>
        <w:adjustRightInd w:val="0"/>
        <w:snapToGrid w:val="0"/>
        <w:spacing w:before="100" w:beforeAutospacing="1" w:after="100" w:afterAutospacing="1"/>
        <w:jc w:val="center"/>
        <w:outlineLvl w:val="0"/>
        <w:rPr>
          <w:rFonts w:ascii="宋体" w:hAnsi="宋体"/>
          <w:b/>
          <w:bCs/>
          <w:sz w:val="32"/>
          <w:szCs w:val="32"/>
        </w:rPr>
      </w:pPr>
      <w:bookmarkStart w:id="163" w:name="_Toc32835834"/>
      <w:bookmarkStart w:id="164" w:name="_Toc30273"/>
      <w:bookmarkStart w:id="165" w:name="_Toc24302"/>
      <w:bookmarkStart w:id="166" w:name="_Toc430160318"/>
      <w:r>
        <w:rPr>
          <w:rFonts w:hint="eastAsia" w:ascii="宋体" w:hAnsi="宋体"/>
          <w:b/>
          <w:bCs/>
          <w:sz w:val="32"/>
          <w:szCs w:val="32"/>
        </w:rPr>
        <w:t xml:space="preserve"> </w:t>
      </w:r>
      <w:bookmarkEnd w:id="163"/>
      <w:bookmarkEnd w:id="164"/>
      <w:bookmarkEnd w:id="165"/>
      <w:bookmarkStart w:id="167" w:name="_Toc17181"/>
      <w:bookmarkStart w:id="168" w:name="_Toc21654"/>
      <w:bookmarkStart w:id="169" w:name="_Toc32104"/>
      <w:r>
        <w:rPr>
          <w:rFonts w:hint="eastAsia" w:ascii="宋体" w:hAnsi="宋体"/>
          <w:b/>
          <w:bCs/>
          <w:sz w:val="32"/>
          <w:szCs w:val="32"/>
        </w:rPr>
        <w:t>项目需求</w:t>
      </w:r>
      <w:bookmarkEnd w:id="167"/>
      <w:bookmarkEnd w:id="168"/>
      <w:bookmarkEnd w:id="169"/>
    </w:p>
    <w:p w14:paraId="59A18BF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一、项目概况</w:t>
      </w:r>
    </w:p>
    <w:p w14:paraId="42057E7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（一）本次需要采购一家符合要求的供应商，为采购人提供劳务派遣服务；预计需要劳务派遣人员95人（最终服务岗位及人员数量以实际派遣人数为准）。</w:t>
      </w:r>
    </w:p>
    <w:p w14:paraId="5FE1F0C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（二）报价</w:t>
      </w:r>
    </w:p>
    <w:p w14:paraId="0B6DDAE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本包预算价格为741万元/年，折合每人每月封顶薪酬约6500元（7.8万/年），三年服务期总预算为2223万元。分为不列入招标竞价费用（含聘用劳务派遣人员的薪酬、社保、体检、工会福利等）和服务管理费。</w:t>
      </w:r>
    </w:p>
    <w:p w14:paraId="3A81C0F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其中：</w:t>
      </w:r>
    </w:p>
    <w:p w14:paraId="710E938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1.劳务派遣人员薪酬（含社保部分）、体检、工会福利等合计735.3万元/年，折合人民币每人每月6450元，三年服务期薪酬（含社保部分）总预算为2205.9万元，不列入招标竞价范畴。</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报价时按此金额报价，不得变更修改，否则将作无效投标处理。</w:t>
      </w:r>
    </w:p>
    <w:p w14:paraId="3946A50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在本项目服务周期内，</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将依据劳务派遣人员的岗位、考勤、学历、职称、技能、履职等实际情况，自行确定劳动薪酬标准；社会保险费包括：基本养老保险、基本医疗保险、工伤保险、失业保险、生育保险，依据国家政策规定执行（郑州市2024年7月-2025年7月社保最低基数3579元。注：郑州市每年6月调整社保基数，每年7月后含7月，社保费用按照调整后的基数上浮），合同期间，国家法规或政策等要求对社会保险标准进行上浮时，劳务派遣人员的薪酬可据此上浮，均据实结算。</w:t>
      </w:r>
    </w:p>
    <w:p w14:paraId="287B4C4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2.劳务派遣服务管理费最高限价5.7万元/年，折合每人每月为人民币50元，三年服务期的服务管理费总预算为17.1万元，这部分费用将列入招标竞价范围。在本项目服务周期内，</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将根据实际劳务派遣人员的数量按月支付服务管理费，即实际派遣人员人数×服务管理费单价，均据实结算。</w:t>
      </w:r>
    </w:p>
    <w:p w14:paraId="5E11E9A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可依据某些特定岗位的具体情况，额外给予派遣人员加班费、绩效奖金等，相关费用由</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承担。</w:t>
      </w:r>
    </w:p>
    <w:p w14:paraId="6A4D96C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二、服务内容</w:t>
      </w:r>
    </w:p>
    <w:p w14:paraId="7037263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人员招聘。根据采购人工作岗位要求，中标供应商按采购人要求做好招聘工作：以自己的名义免费发布招聘公告，但可注明“通过派遣的方式为采购人提供服务”字样，信息内容须经采购人书面核对后方可发布，根据采购人对派遣人员的需求，在采购方的参与和监督下完成派遣人员的招聘及录用等工作，并由采购人最终确定派遣人员名单。若派遣人员不能胜任所在工作岗位职责，或不遵守院方规章制度的，院方有权予以辞退，同时</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应在一周内补充合适的劳务派遣人员到岗。</w:t>
      </w:r>
    </w:p>
    <w:p w14:paraId="55C7776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日常管理。配备专门的劳务管理人员不少于1人，负责派遣员工的日常服务管理，包括劳务派遣人员的招聘/录用/退工/离职手续办理、检查入职体检报告、劳动合同签订、终止或解除、人事信息采集、考勤汇总、薪酬管理、个税代扣代缴、出具个人相关证明、劳动争议调解、纠纷处理、后勤保障等相关方面的管理服务。</w:t>
      </w:r>
    </w:p>
    <w:p w14:paraId="050ED39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福利保障。根据有关法律法规的规定，及时足额为派遣员工办理各项社会保险费的申报、接续、缴纳和转移等，及时申报与兑现派遣员工的失业、工伤、生育、死亡、医疗等政策待遇，同时每月及时将各类保险缴纳凭证的复印件提供给</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。按照国家规定，每年对员工的社会保险基数进行调整。</w:t>
      </w:r>
    </w:p>
    <w:p w14:paraId="610D76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负责解决合同期内派遣人员的一切劳动纠纷，处理派遣人员提出的劳动仲裁、诉讼以及涉及派遣员工的其它突发事件。供应商保证其派遣的员工不得以任何理由霸占采购人场地，影响采购人正常的医疗秩序，否则，造成采购人的损失，供应商应承担相应的赔偿责任。</w:t>
      </w:r>
    </w:p>
    <w:p w14:paraId="3D4E9B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及时了解国家和省发布的有关劳动标准、劳动条件、工资福利、社会保险等方面的最新政策动态，以规范合理为目标，对不同政策进行深入研究，并及时告知采购人，积极协助采购人对新政策规定的了解咨询、组织实施。</w:t>
      </w:r>
    </w:p>
    <w:p w14:paraId="2D3B4C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落实采购人规章制度和工作需要提出的管理要求，对派遣员工进行入职前培训；教育并督促派遣员工严格遵守采购人的规章制度和管理规范规程、忠于职守、文明礼貌、严格遵守劳动纪律、服从和执行采购人作出的工作安排和调度。</w:t>
      </w:r>
    </w:p>
    <w:p w14:paraId="54094E4E">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三、服务要求</w:t>
      </w:r>
    </w:p>
    <w:p w14:paraId="53DE6E1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供应商资质：在中华人民共和国境内注册并合法运作的独立法人机构，能提供正规发票，具有人力资源服务许可证、劳务派遣经营许可证、法人营业执照、组织机构代码证、税务登记证（或三证合一）有效齐全。近三年内，在经营活动中没有重大违法记录，提供有效的公告之日起检察机关出具的无行贿犯罪记录证明。</w:t>
      </w:r>
    </w:p>
    <w:p w14:paraId="17D2F8D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具有稳定的人员来源，在采购人提出用人需求时，供应商原则上应在15天内招聘人员到位；并按照采购人的要求及时更换不能胜任工作、不符合岗位要求的劳务派遣人员。用工期间，如因劳务派遣人员个人原因要求提前终止服务的，需提前30天（试用期提前7天）由本人提出书面离职申请，经采购人同意后由中标供应商办理离职手续。</w:t>
      </w:r>
    </w:p>
    <w:p w14:paraId="3027884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配备专门的劳务管理人员1名，负责派遣员工的日常事务。如采购人要求劳务管理人员到达工作现场协调或处理纠纷时，应积极响应并及时到达现场（非节假日或公休日期间在1小时内到达现场，如遇节假日或公休日在2小时内到达现场）；如采购人有条件提供临时工作场所的则免费提供，否则供应商须自行解决协调或处理期间的场地事宜。</w:t>
      </w:r>
    </w:p>
    <w:p w14:paraId="483C188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供应商在每月10日（遇法定节假日或公休日提前）前与采购人办理本月派遣员工人员变动的确认手续。供应商应在每月工资发放前做好上一月份的派遣人员的考勤考核奖惩等统计工作，并提交工资发放表、劳务费用结算表及等额有效发票等文件向采购人提出申请，经采购人审核后准时向派遣人员足额发放对应工资。</w:t>
      </w:r>
    </w:p>
    <w:p w14:paraId="35B9481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（五）未经采购人书面通知，供应商不得随意扣罚劳务派遣人员工资和其他薪酬，不得缩减劳务派遣人员社会保险费用缴费标准。</w:t>
      </w:r>
    </w:p>
    <w:p w14:paraId="6D2BD48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（六）未经采购人同意，中标供应商不得将承包项目发包或转包，否则，视为中标供应商违约，采购人有权单方面终止合同并要求其承担违约责任。</w:t>
      </w:r>
    </w:p>
    <w:p w14:paraId="11631C5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（七）不得泄露采购人的商业秘密，包括与此劳务派遣服务相关的任何内容禁止向第三方透露。</w:t>
      </w:r>
    </w:p>
    <w:p w14:paraId="55EDC25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四、技术标准与要求</w:t>
      </w:r>
    </w:p>
    <w:p w14:paraId="389C1C4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（一）劳务派遣岗位及数量要求</w:t>
      </w:r>
    </w:p>
    <w:tbl>
      <w:tblPr>
        <w:tblStyle w:val="51"/>
        <w:tblW w:w="8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4"/>
        <w:gridCol w:w="4618"/>
        <w:gridCol w:w="2386"/>
      </w:tblGrid>
      <w:tr w14:paraId="47C1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42CF0A0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序号</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631C5B5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岗位</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7FB54B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需求数量</w:t>
            </w:r>
          </w:p>
        </w:tc>
      </w:tr>
      <w:tr w14:paraId="556F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0624841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4B7892F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治疗师/推拿师</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2D67B2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13</w:t>
            </w:r>
          </w:p>
        </w:tc>
      </w:tr>
      <w:tr w14:paraId="7F7B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4167FEF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6E5E18F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医师助理</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2302C6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14</w:t>
            </w:r>
          </w:p>
        </w:tc>
      </w:tr>
      <w:tr w14:paraId="473B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5AAF90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63078DA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导诊/护士助理</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612813A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p>
        </w:tc>
      </w:tr>
      <w:tr w14:paraId="2C2B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2567CA0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5DA1AD1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检验员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0D5877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r>
      <w:tr w14:paraId="2015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05A1C9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35FBAC6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打字员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7E1ABC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p>
        </w:tc>
      </w:tr>
      <w:tr w14:paraId="704C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4FAEEFC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01F468C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药房调剂员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0E68C41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r>
      <w:tr w14:paraId="791A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1A46B48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4B4CC08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物质转运员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081945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r>
      <w:tr w14:paraId="41A6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62FA50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215691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勤杂工</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294F8B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p>
        </w:tc>
      </w:tr>
      <w:tr w14:paraId="4974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3B79041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3CD4099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锅炉工、水工、木工</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783FD4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r>
      <w:tr w14:paraId="1DB0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6A516A6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12A2BEB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收费员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B7C68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p>
        </w:tc>
      </w:tr>
      <w:tr w14:paraId="5573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02BBE62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322DDD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担架员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E0F794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r>
      <w:tr w14:paraId="1C91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1300A3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74CFA63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病案翻拍员</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3B2F15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r>
      <w:tr w14:paraId="6A3C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574" w:type="dxa"/>
            <w:tcBorders>
              <w:top w:val="single" w:color="000000" w:sz="4" w:space="0"/>
              <w:left w:val="single" w:color="000000" w:sz="4" w:space="0"/>
              <w:bottom w:val="single" w:color="000000" w:sz="4" w:space="0"/>
              <w:right w:val="single" w:color="000000" w:sz="4" w:space="0"/>
            </w:tcBorders>
            <w:noWrap/>
            <w:vAlign w:val="center"/>
          </w:tcPr>
          <w:p w14:paraId="0D7476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p>
        </w:tc>
        <w:tc>
          <w:tcPr>
            <w:tcW w:w="4618" w:type="dxa"/>
            <w:tcBorders>
              <w:top w:val="single" w:color="000000" w:sz="4" w:space="0"/>
              <w:left w:val="single" w:color="000000" w:sz="4" w:space="0"/>
              <w:bottom w:val="single" w:color="000000" w:sz="4" w:space="0"/>
              <w:right w:val="single" w:color="000000" w:sz="4" w:space="0"/>
            </w:tcBorders>
            <w:noWrap/>
            <w:vAlign w:val="center"/>
          </w:tcPr>
          <w:p w14:paraId="125D48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小车司机</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77FD466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p>
        </w:tc>
      </w:tr>
      <w:tr w14:paraId="19B3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192" w:type="dxa"/>
            <w:gridSpan w:val="2"/>
            <w:tcBorders>
              <w:top w:val="single" w:color="000000" w:sz="4" w:space="0"/>
              <w:left w:val="single" w:color="000000" w:sz="4" w:space="0"/>
              <w:bottom w:val="single" w:color="000000" w:sz="4" w:space="0"/>
              <w:right w:val="single" w:color="000000" w:sz="4" w:space="0"/>
            </w:tcBorders>
            <w:noWrap/>
            <w:vAlign w:val="center"/>
          </w:tcPr>
          <w:p w14:paraId="5174542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合计</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180E038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95</w:t>
            </w:r>
          </w:p>
        </w:tc>
      </w:tr>
    </w:tbl>
    <w:p w14:paraId="14237E6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在合同规定的招聘总量范围内，具体岗位及其数量可依据实际工作岗位的需求进行灵活调整。若合同所规定的招聘总量无法满足实际工作需求，我们将根据实际需要，实时启动并调整补充招聘程序。</w:t>
      </w:r>
      <w:r>
        <w:rPr>
          <w:rFonts w:hint="eastAsia" w:ascii="宋体" w:hAnsi="宋体" w:eastAsia="宋体" w:cs="宋体"/>
          <w:sz w:val="21"/>
          <w:szCs w:val="21"/>
          <w:highlight w:val="none"/>
          <w:lang w:eastAsia="zh-CN"/>
        </w:rPr>
        <w:t>具体流程：申请部门通过钉钉提交用人申请，人力资源部进行实地考察，情况属实，递交院长办公讨论审批，审批通过后及时补充所需的劳务派遣人员。</w:t>
      </w:r>
    </w:p>
    <w:p w14:paraId="200AAE6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（二）劳务派遣人员的基本素质要求</w:t>
      </w:r>
    </w:p>
    <w:p w14:paraId="258CBE0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1.遵纪守法，遵守</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的规章制度，遵守本岗位所属部门的各项管理细则。</w:t>
      </w:r>
    </w:p>
    <w:p w14:paraId="3C99FB4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2.拥护中国共产党的领导，具有正确的政治方向和立场，有良好的思想素质和职业道德，无违规违纪等不良记录。</w:t>
      </w:r>
    </w:p>
    <w:p w14:paraId="54FA528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3.身体健康，具有正常履行职责的身体条件和工作能力，工作责任感强，能吃苦耐劳，承受工作压力，有良好的团队合作精神。</w:t>
      </w:r>
    </w:p>
    <w:p w14:paraId="0DF36C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4.保持仪表、仪容整洁，不迟到、不早退，坚守岗位。听从采购人的工作安排和培训安排。</w:t>
      </w:r>
    </w:p>
    <w:p w14:paraId="683631E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5.符合采购人要求及日常管理工作规范。</w:t>
      </w:r>
    </w:p>
    <w:p w14:paraId="37C365B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岗位所需的专业知识或技能</w:t>
      </w:r>
      <w:r>
        <w:rPr>
          <w:rFonts w:hint="eastAsia" w:ascii="宋体" w:hAnsi="宋体" w:eastAsia="宋体" w:cs="宋体"/>
          <w:sz w:val="21"/>
          <w:szCs w:val="21"/>
          <w:lang w:eastAsia="zh-CN"/>
        </w:rPr>
        <w:t>。</w:t>
      </w:r>
    </w:p>
    <w:p w14:paraId="420F5AC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（三）岗位规定的其它资格条件</w:t>
      </w:r>
    </w:p>
    <w:p w14:paraId="5559707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具体详见各岗位招聘通知要求。</w:t>
      </w:r>
    </w:p>
    <w:p w14:paraId="5E5D7CB0">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五、服务期限及费用支付方式</w:t>
      </w:r>
    </w:p>
    <w:p w14:paraId="7C5B49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（一）服务期限：3年。采取1+1+1方式，按年度签订合同，下一年合同的签订根据上一年度的服务情况和综合评定确定是否续签。</w:t>
      </w:r>
    </w:p>
    <w:p w14:paraId="3C983E0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采购人定期或者不定期对</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派遣技术人员服务质量进行日常考核，除此之外，</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每年对劳务派遣服务公司按照劳务合同要求及服务质量进行综合考评。即</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每年对</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派遣技术人员服务质量进行考核，</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每年对劳务派遣服务公司按照劳务合同要求及服务质量综合考评，考评</w:t>
      </w:r>
      <w:r>
        <w:rPr>
          <w:rFonts w:hint="eastAsia" w:ascii="宋体" w:hAnsi="宋体" w:eastAsia="宋体" w:cs="宋体"/>
          <w:sz w:val="21"/>
          <w:szCs w:val="21"/>
          <w:highlight w:val="none"/>
          <w:lang w:val="en-US" w:eastAsia="zh-CN"/>
        </w:rPr>
        <w:t>满意度＞90%为优秀，80%-90%为良好，70%-80%为合格，＜70%视为不合格，考评满意度低于70分者，</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有权利单方面</w:t>
      </w:r>
      <w:r>
        <w:rPr>
          <w:rFonts w:hint="eastAsia" w:ascii="宋体" w:hAnsi="宋体" w:cs="宋体"/>
          <w:sz w:val="21"/>
          <w:szCs w:val="21"/>
          <w:highlight w:val="none"/>
          <w:lang w:val="en-US" w:eastAsia="zh-CN"/>
        </w:rPr>
        <w:t>不再续签</w:t>
      </w:r>
      <w:r>
        <w:rPr>
          <w:rFonts w:hint="eastAsia" w:ascii="宋体" w:hAnsi="宋体" w:eastAsia="宋体" w:cs="宋体"/>
          <w:sz w:val="21"/>
          <w:szCs w:val="21"/>
          <w:highlight w:val="none"/>
          <w:lang w:val="en-US" w:eastAsia="zh-CN"/>
        </w:rPr>
        <w:t>劳务合同，由</w:t>
      </w:r>
      <w:r>
        <w:rPr>
          <w:rFonts w:hint="eastAsia" w:ascii="宋体" w:hAnsi="宋体" w:cs="宋体"/>
          <w:sz w:val="21"/>
          <w:szCs w:val="21"/>
          <w:highlight w:val="none"/>
          <w:lang w:val="en-US" w:eastAsia="zh-CN"/>
        </w:rPr>
        <w:t>此</w:t>
      </w:r>
      <w:r>
        <w:rPr>
          <w:rFonts w:hint="eastAsia" w:ascii="宋体" w:hAnsi="宋体" w:eastAsia="宋体" w:cs="宋体"/>
          <w:sz w:val="21"/>
          <w:szCs w:val="21"/>
          <w:highlight w:val="none"/>
          <w:lang w:val="en-US" w:eastAsia="zh-CN"/>
        </w:rPr>
        <w:t>带来的相关经济损失</w:t>
      </w:r>
      <w:r>
        <w:rPr>
          <w:rFonts w:hint="eastAsia" w:ascii="宋体" w:hAnsi="宋体" w:cs="宋体"/>
          <w:sz w:val="21"/>
          <w:szCs w:val="21"/>
          <w:highlight w:val="none"/>
          <w:lang w:val="en-US" w:eastAsia="zh-CN"/>
        </w:rPr>
        <w:t>或重大名誉损失</w:t>
      </w:r>
      <w:r>
        <w:rPr>
          <w:rFonts w:hint="eastAsia" w:ascii="宋体" w:hAnsi="宋体" w:eastAsia="宋体" w:cs="宋体"/>
          <w:sz w:val="21"/>
          <w:szCs w:val="21"/>
          <w:highlight w:val="none"/>
          <w:lang w:val="en-US" w:eastAsia="zh-CN"/>
        </w:rPr>
        <w:t>由</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承担。</w:t>
      </w:r>
    </w:p>
    <w:p w14:paraId="7FDA88E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（二）支付方式</w:t>
      </w:r>
    </w:p>
    <w:p w14:paraId="1F82939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收到</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确认的《劳务用工劳务费结算表》后，及时开具劳务费发票送达采购人，</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在收到</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的发票后，于每月20日前（如遇国家法定节假日或特殊情况，可顺延7天）将上月应支付的服务管理费、派遣员工的工资及保险费用转入</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账户，</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在收到采购人的劳务费后，不超过3个工作日按时足额的发放被派遣者劳务报酬。</w:t>
      </w:r>
    </w:p>
    <w:p w14:paraId="037E6E0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（三）履约保证金</w:t>
      </w:r>
    </w:p>
    <w:p w14:paraId="684E257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中标通知书发出后供应商须向采购人交纳履约保证金5万元。履约保证金于服务期满后经采购人考核服务质量合格后30日内无息退还。</w:t>
      </w:r>
    </w:p>
    <w:p w14:paraId="1A24D27C">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六、违约责任</w:t>
      </w:r>
    </w:p>
    <w:p w14:paraId="73789B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未按要求履行约定的服务内容，</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有权拒绝支付劳务派遣服务费用，</w:t>
      </w:r>
      <w:r>
        <w:rPr>
          <w:rFonts w:hint="eastAsia" w:ascii="宋体" w:hAnsi="宋体" w:cs="宋体"/>
          <w:sz w:val="21"/>
          <w:szCs w:val="21"/>
          <w:highlight w:val="none"/>
          <w:lang w:val="en-US" w:eastAsia="zh-CN"/>
        </w:rPr>
        <w:t>根据《民法典》有关规定</w:t>
      </w:r>
      <w:r>
        <w:rPr>
          <w:rFonts w:hint="eastAsia" w:ascii="宋体" w:hAnsi="宋体" w:eastAsia="宋体" w:cs="宋体"/>
          <w:sz w:val="21"/>
          <w:szCs w:val="21"/>
          <w:highlight w:val="none"/>
          <w:lang w:val="en-US" w:eastAsia="zh-CN"/>
        </w:rPr>
        <w:t>有权单方解除合同并追究违约责任。</w:t>
      </w:r>
    </w:p>
    <w:p w14:paraId="774F98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（二）因劳务派遣人员工作失职、违法犯罪</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lang w:val="en-US" w:eastAsia="zh-CN"/>
        </w:rPr>
        <w:t>行为造成</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经济损失的，</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除协助</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对派遣员工进行处理外，还应承担</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lang w:val="en-US" w:eastAsia="zh-CN"/>
        </w:rPr>
        <w:t>经济损失。</w:t>
      </w:r>
    </w:p>
    <w:p w14:paraId="3E25761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C00000"/>
          <w:sz w:val="21"/>
          <w:szCs w:val="21"/>
          <w:highlight w:val="none"/>
          <w:lang w:val="en-US" w:eastAsia="zh-CN" w:bidi="zh-CN"/>
        </w:rPr>
      </w:pPr>
      <w:r>
        <w:rPr>
          <w:rFonts w:hint="eastAsia" w:ascii="宋体" w:hAnsi="宋体" w:eastAsia="宋体" w:cs="宋体"/>
          <w:sz w:val="21"/>
          <w:szCs w:val="21"/>
          <w:highlight w:val="none"/>
          <w:lang w:val="en-US" w:eastAsia="zh-CN"/>
        </w:rPr>
        <w:t>（三）</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存在拖欠</w:t>
      </w:r>
      <w:r>
        <w:rPr>
          <w:rFonts w:hint="eastAsia" w:ascii="宋体" w:hAnsi="宋体" w:eastAsia="宋体" w:cs="宋体"/>
          <w:sz w:val="21"/>
          <w:szCs w:val="21"/>
          <w:highlight w:val="none"/>
          <w:lang w:val="en-US" w:eastAsia="zh-CN"/>
        </w:rPr>
        <w:t>员工</w:t>
      </w:r>
      <w:r>
        <w:rPr>
          <w:rFonts w:hint="eastAsia" w:ascii="宋体" w:hAnsi="宋体" w:eastAsia="宋体" w:cs="宋体"/>
          <w:sz w:val="21"/>
          <w:szCs w:val="21"/>
          <w:highlight w:val="none"/>
        </w:rPr>
        <w:t>工资或未按规定为</w:t>
      </w:r>
      <w:r>
        <w:rPr>
          <w:rFonts w:hint="eastAsia" w:ascii="宋体" w:hAnsi="宋体" w:eastAsia="宋体" w:cs="宋体"/>
          <w:sz w:val="21"/>
          <w:szCs w:val="21"/>
        </w:rPr>
        <w:t>员工缴纳社会保险的，</w:t>
      </w:r>
      <w:r>
        <w:rPr>
          <w:rFonts w:hint="eastAsia" w:ascii="宋体" w:hAnsi="宋体" w:cs="宋体"/>
          <w:sz w:val="21"/>
          <w:szCs w:val="21"/>
          <w:lang w:eastAsia="zh-CN"/>
        </w:rPr>
        <w:t>采购人</w:t>
      </w:r>
      <w:r>
        <w:rPr>
          <w:rFonts w:hint="eastAsia" w:ascii="宋体" w:hAnsi="宋体" w:eastAsia="宋体" w:cs="宋体"/>
          <w:sz w:val="21"/>
          <w:szCs w:val="21"/>
        </w:rPr>
        <w:t>督促</w:t>
      </w:r>
      <w:r>
        <w:rPr>
          <w:rFonts w:hint="eastAsia" w:ascii="宋体" w:hAnsi="宋体" w:cs="宋体"/>
          <w:sz w:val="21"/>
          <w:szCs w:val="21"/>
          <w:lang w:val="en-US" w:eastAsia="zh-CN"/>
        </w:rPr>
        <w:t>供应商</w:t>
      </w:r>
      <w:r>
        <w:rPr>
          <w:rFonts w:hint="eastAsia" w:ascii="宋体" w:hAnsi="宋体" w:eastAsia="宋体" w:cs="宋体"/>
          <w:sz w:val="21"/>
          <w:szCs w:val="21"/>
        </w:rPr>
        <w:t>及时发放或及时（补）缴纳、购买，并扣除履约保证金3000元/次，给</w:t>
      </w:r>
      <w:r>
        <w:rPr>
          <w:rFonts w:hint="eastAsia" w:ascii="宋体" w:hAnsi="宋体" w:cs="宋体"/>
          <w:sz w:val="21"/>
          <w:szCs w:val="21"/>
          <w:lang w:eastAsia="zh-CN"/>
        </w:rPr>
        <w:t>采购人</w:t>
      </w:r>
      <w:r>
        <w:rPr>
          <w:rFonts w:hint="eastAsia" w:ascii="宋体" w:hAnsi="宋体" w:eastAsia="宋体" w:cs="宋体"/>
          <w:sz w:val="21"/>
          <w:szCs w:val="21"/>
        </w:rPr>
        <w:t>造成不良影响的，扣除履约保证金10000元/次，拖欠或未缴纳情形出现两次以上的，</w:t>
      </w:r>
      <w:r>
        <w:rPr>
          <w:rFonts w:hint="eastAsia" w:ascii="宋体" w:hAnsi="宋体" w:cs="宋体"/>
          <w:sz w:val="21"/>
          <w:szCs w:val="21"/>
          <w:lang w:eastAsia="zh-CN"/>
        </w:rPr>
        <w:t>采购人</w:t>
      </w:r>
      <w:r>
        <w:rPr>
          <w:rFonts w:hint="eastAsia" w:ascii="宋体" w:hAnsi="宋体" w:eastAsia="宋体" w:cs="宋体"/>
          <w:sz w:val="21"/>
          <w:szCs w:val="21"/>
        </w:rPr>
        <w:t>有权解除本合同，不退还履约保证金。同时因</w:t>
      </w:r>
      <w:r>
        <w:rPr>
          <w:rFonts w:hint="eastAsia" w:ascii="宋体" w:hAnsi="宋体" w:cs="宋体"/>
          <w:sz w:val="21"/>
          <w:szCs w:val="21"/>
          <w:lang w:val="en-US" w:eastAsia="zh-CN"/>
        </w:rPr>
        <w:t>供应商</w:t>
      </w:r>
      <w:r>
        <w:rPr>
          <w:rFonts w:hint="eastAsia" w:ascii="宋体" w:hAnsi="宋体" w:eastAsia="宋体" w:cs="宋体"/>
          <w:sz w:val="21"/>
          <w:szCs w:val="21"/>
        </w:rPr>
        <w:t>拖欠员工工资或未按规定为员工缴纳社会保险产生的任何纠纷与法律责任均由</w:t>
      </w:r>
      <w:r>
        <w:rPr>
          <w:rFonts w:hint="eastAsia" w:ascii="宋体" w:hAnsi="宋体" w:cs="宋体"/>
          <w:sz w:val="21"/>
          <w:szCs w:val="21"/>
          <w:lang w:val="en-US" w:eastAsia="zh-CN"/>
        </w:rPr>
        <w:t>供应商</w:t>
      </w:r>
      <w:r>
        <w:rPr>
          <w:rFonts w:hint="eastAsia" w:ascii="宋体" w:hAnsi="宋体" w:eastAsia="宋体" w:cs="宋体"/>
          <w:sz w:val="21"/>
          <w:szCs w:val="21"/>
        </w:rPr>
        <w:t>自行承担，给</w:t>
      </w:r>
      <w:r>
        <w:rPr>
          <w:rFonts w:hint="eastAsia" w:ascii="宋体" w:hAnsi="宋体" w:cs="宋体"/>
          <w:sz w:val="21"/>
          <w:szCs w:val="21"/>
          <w:lang w:eastAsia="zh-CN"/>
        </w:rPr>
        <w:t>采购人</w:t>
      </w:r>
      <w:r>
        <w:rPr>
          <w:rFonts w:hint="eastAsia" w:ascii="宋体" w:hAnsi="宋体" w:eastAsia="宋体" w:cs="宋体"/>
          <w:sz w:val="21"/>
          <w:szCs w:val="21"/>
        </w:rPr>
        <w:t>造成损失的，</w:t>
      </w:r>
      <w:r>
        <w:rPr>
          <w:rFonts w:hint="eastAsia" w:ascii="宋体" w:hAnsi="宋体" w:cs="宋体"/>
          <w:sz w:val="21"/>
          <w:szCs w:val="21"/>
          <w:lang w:val="en-US" w:eastAsia="zh-CN"/>
        </w:rPr>
        <w:t>供应商</w:t>
      </w:r>
      <w:r>
        <w:rPr>
          <w:rFonts w:hint="eastAsia" w:ascii="宋体" w:hAnsi="宋体" w:eastAsia="宋体" w:cs="宋体"/>
          <w:sz w:val="21"/>
          <w:szCs w:val="21"/>
        </w:rPr>
        <w:t>应予以赔偿。</w:t>
      </w:r>
    </w:p>
    <w:p w14:paraId="22E3D25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sz w:val="32"/>
          <w:szCs w:val="32"/>
          <w:highlight w:val="none"/>
          <w:lang w:val="en-US" w:eastAsia="zh-CN"/>
        </w:rPr>
      </w:pPr>
    </w:p>
    <w:p w14:paraId="5999452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p>
    <w:p w14:paraId="5ACC403B">
      <w:pPr>
        <w:spacing w:line="460" w:lineRule="exact"/>
        <w:ind w:firstLine="420" w:firstLineChars="200"/>
        <w:rPr>
          <w:rFonts w:ascii="宋体" w:hAnsi="宋体" w:cs="宋体"/>
        </w:rPr>
      </w:pPr>
    </w:p>
    <w:p w14:paraId="597A4CDD">
      <w:r>
        <w:rPr>
          <w:rFonts w:hint="eastAsia"/>
        </w:rPr>
        <w:br w:type="page"/>
      </w:r>
    </w:p>
    <w:p w14:paraId="7F60D02A">
      <w:pPr>
        <w:pStyle w:val="2"/>
        <w:rPr>
          <w:sz w:val="32"/>
          <w:szCs w:val="15"/>
        </w:rPr>
      </w:pPr>
      <w:bookmarkStart w:id="170" w:name="_Toc13702"/>
      <w:bookmarkStart w:id="171" w:name="_Toc26222"/>
      <w:bookmarkStart w:id="172" w:name="_Toc629"/>
      <w:bookmarkStart w:id="173" w:name="_Toc22393"/>
      <w:bookmarkStart w:id="174" w:name="_Toc11"/>
      <w:bookmarkStart w:id="175" w:name="_Toc32835835"/>
      <w:r>
        <w:rPr>
          <w:rFonts w:hint="eastAsia"/>
          <w:sz w:val="32"/>
          <w:szCs w:val="15"/>
        </w:rPr>
        <w:t>第六章  投标文件格式及附件</w:t>
      </w:r>
      <w:bookmarkEnd w:id="166"/>
      <w:bookmarkEnd w:id="170"/>
      <w:bookmarkEnd w:id="171"/>
      <w:bookmarkEnd w:id="172"/>
      <w:bookmarkEnd w:id="173"/>
      <w:bookmarkEnd w:id="174"/>
      <w:bookmarkEnd w:id="175"/>
    </w:p>
    <w:p w14:paraId="73FD09EC">
      <w:pPr>
        <w:wordWrap w:val="0"/>
        <w:spacing w:line="360" w:lineRule="auto"/>
        <w:jc w:val="center"/>
        <w:rPr>
          <w:rFonts w:ascii="宋体" w:hAnsi="宋体"/>
          <w:szCs w:val="21"/>
        </w:rPr>
      </w:pPr>
    </w:p>
    <w:p w14:paraId="62D8B6A7">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河南省中医院（河南中医药大学第二附属医院）劳务派遣服务采购项目</w:t>
      </w:r>
    </w:p>
    <w:p w14:paraId="41139639">
      <w:pPr>
        <w:widowControl/>
        <w:jc w:val="center"/>
        <w:rPr>
          <w:rFonts w:ascii="宋体" w:hAnsi="宋体" w:cs="宋体"/>
          <w:b/>
          <w:bCs/>
          <w:color w:val="000000"/>
          <w:kern w:val="0"/>
          <w:sz w:val="36"/>
          <w:szCs w:val="36"/>
        </w:rPr>
      </w:pPr>
    </w:p>
    <w:p w14:paraId="691F9CBF">
      <w:pPr>
        <w:widowControl/>
        <w:adjustRightInd w:val="0"/>
        <w:snapToGrid w:val="0"/>
        <w:spacing w:after="200"/>
        <w:jc w:val="center"/>
        <w:rPr>
          <w:rFonts w:ascii="宋体" w:hAnsi="宋体" w:cs="宋体"/>
          <w:b/>
          <w:sz w:val="100"/>
          <w:szCs w:val="100"/>
        </w:rPr>
      </w:pPr>
      <w:r>
        <w:rPr>
          <w:rFonts w:hint="eastAsia" w:ascii="宋体" w:hAnsi="宋体" w:cs="宋体"/>
          <w:b/>
          <w:sz w:val="100"/>
          <w:szCs w:val="100"/>
        </w:rPr>
        <w:t>投 标 文 件</w:t>
      </w:r>
    </w:p>
    <w:p w14:paraId="431326BF">
      <w:pPr>
        <w:spacing w:line="500" w:lineRule="exact"/>
        <w:jc w:val="center"/>
        <w:rPr>
          <w:rFonts w:ascii="宋体" w:hAnsi="宋体" w:cs="宋体"/>
          <w:b/>
          <w:bCs/>
          <w:sz w:val="28"/>
          <w:szCs w:val="28"/>
        </w:rPr>
      </w:pPr>
    </w:p>
    <w:p w14:paraId="20EEAF20">
      <w:pPr>
        <w:spacing w:line="500" w:lineRule="exact"/>
        <w:jc w:val="center"/>
        <w:rPr>
          <w:rFonts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lang w:eastAsia="zh-CN"/>
        </w:rPr>
        <w:t>豫财招标采购-2025-418</w:t>
      </w:r>
      <w:r>
        <w:rPr>
          <w:rFonts w:hint="eastAsia" w:ascii="宋体" w:hAnsi="宋体" w:cs="宋体"/>
          <w:b/>
          <w:bCs/>
          <w:sz w:val="28"/>
          <w:szCs w:val="28"/>
        </w:rPr>
        <w:t xml:space="preserve"> </w:t>
      </w:r>
    </w:p>
    <w:p w14:paraId="2E726D6B">
      <w:pPr>
        <w:pStyle w:val="49"/>
        <w:ind w:firstLine="0"/>
        <w:rPr>
          <w:rFonts w:ascii="宋体" w:hAnsi="宋体" w:eastAsia="宋体" w:cs="宋体"/>
          <w:sz w:val="30"/>
          <w:szCs w:val="28"/>
        </w:rPr>
      </w:pPr>
    </w:p>
    <w:p w14:paraId="1C6DA538">
      <w:pPr>
        <w:pStyle w:val="50"/>
        <w:tabs>
          <w:tab w:val="left" w:pos="945"/>
          <w:tab w:val="left" w:pos="1155"/>
        </w:tabs>
        <w:ind w:firstLine="560"/>
        <w:rPr>
          <w:rFonts w:ascii="宋体" w:hAnsi="宋体" w:eastAsia="宋体" w:cs="宋体"/>
        </w:rPr>
      </w:pPr>
    </w:p>
    <w:p w14:paraId="7F2DC165">
      <w:pPr>
        <w:pStyle w:val="50"/>
        <w:tabs>
          <w:tab w:val="left" w:pos="945"/>
          <w:tab w:val="left" w:pos="1155"/>
        </w:tabs>
        <w:ind w:firstLine="560"/>
        <w:rPr>
          <w:rFonts w:ascii="宋体" w:hAnsi="宋体" w:eastAsia="宋体" w:cs="宋体"/>
        </w:rPr>
      </w:pPr>
    </w:p>
    <w:p w14:paraId="0C7F4617">
      <w:pPr>
        <w:pStyle w:val="50"/>
        <w:tabs>
          <w:tab w:val="left" w:pos="945"/>
          <w:tab w:val="left" w:pos="1155"/>
        </w:tabs>
        <w:ind w:firstLine="560"/>
        <w:rPr>
          <w:rFonts w:ascii="宋体" w:hAnsi="宋体" w:eastAsia="宋体" w:cs="宋体"/>
        </w:rPr>
      </w:pPr>
    </w:p>
    <w:p w14:paraId="20DBE838">
      <w:pPr>
        <w:pStyle w:val="14"/>
        <w:rPr>
          <w:rFonts w:ascii="宋体" w:hAnsi="宋体" w:cs="宋体"/>
        </w:rPr>
      </w:pPr>
    </w:p>
    <w:p w14:paraId="3869177E">
      <w:pPr>
        <w:pStyle w:val="14"/>
        <w:rPr>
          <w:rFonts w:ascii="宋体" w:hAnsi="宋体" w:cs="宋体"/>
        </w:rPr>
      </w:pPr>
    </w:p>
    <w:p w14:paraId="57AADC25">
      <w:pPr>
        <w:pStyle w:val="14"/>
        <w:rPr>
          <w:rFonts w:ascii="宋体" w:hAnsi="宋体" w:cs="宋体"/>
        </w:rPr>
      </w:pPr>
    </w:p>
    <w:p w14:paraId="7FAF076C">
      <w:pPr>
        <w:rPr>
          <w:rFonts w:ascii="宋体" w:hAnsi="宋体" w:cs="宋体"/>
        </w:rPr>
      </w:pPr>
    </w:p>
    <w:p w14:paraId="27497B9D">
      <w:pPr>
        <w:rPr>
          <w:rFonts w:ascii="宋体" w:hAnsi="宋体" w:cs="宋体"/>
          <w:sz w:val="30"/>
          <w:szCs w:val="28"/>
        </w:rPr>
      </w:pPr>
    </w:p>
    <w:p w14:paraId="361CBF81">
      <w:pPr>
        <w:spacing w:line="360" w:lineRule="auto"/>
        <w:jc w:val="center"/>
        <w:rPr>
          <w:rFonts w:ascii="宋体" w:hAnsi="宋体" w:cs="宋体"/>
          <w:sz w:val="28"/>
          <w:u w:val="single"/>
        </w:rPr>
      </w:pPr>
      <w:r>
        <w:rPr>
          <w:rFonts w:hint="eastAsia" w:ascii="宋体" w:hAnsi="宋体" w:cs="宋体"/>
          <w:sz w:val="28"/>
        </w:rPr>
        <w:t>投标人名称：</w:t>
      </w:r>
      <w:r>
        <w:rPr>
          <w:rFonts w:hint="eastAsia" w:ascii="宋体" w:hAnsi="宋体" w:cs="宋体"/>
          <w:sz w:val="28"/>
          <w:u w:val="single"/>
        </w:rPr>
        <w:t xml:space="preserve">                            </w:t>
      </w:r>
      <w:r>
        <w:rPr>
          <w:rFonts w:hint="eastAsia" w:ascii="宋体" w:hAnsi="宋体" w:cs="宋体"/>
          <w:sz w:val="28"/>
        </w:rPr>
        <w:t>（单位电子印章）</w:t>
      </w:r>
    </w:p>
    <w:p w14:paraId="175754B3">
      <w:pPr>
        <w:spacing w:line="360" w:lineRule="auto"/>
        <w:jc w:val="center"/>
        <w:rPr>
          <w:rFonts w:ascii="宋体" w:hAnsi="宋体" w:cs="宋体"/>
          <w:sz w:val="28"/>
        </w:rPr>
      </w:pPr>
      <w:r>
        <w:rPr>
          <w:rFonts w:hint="eastAsia" w:ascii="宋体" w:hAnsi="宋体" w:cs="宋体"/>
          <w:sz w:val="28"/>
        </w:rPr>
        <w:t xml:space="preserve">   法定代表人或其委托代理人：</w:t>
      </w:r>
      <w:r>
        <w:rPr>
          <w:rFonts w:hint="eastAsia" w:ascii="宋体" w:hAnsi="宋体" w:cs="宋体"/>
          <w:sz w:val="28"/>
          <w:u w:val="single"/>
        </w:rPr>
        <w:t xml:space="preserve">               </w:t>
      </w:r>
      <w:r>
        <w:rPr>
          <w:rFonts w:hint="eastAsia" w:ascii="宋体" w:hAnsi="宋体" w:cs="宋体"/>
          <w:sz w:val="28"/>
        </w:rPr>
        <w:t>（电子签章或签字）</w:t>
      </w:r>
    </w:p>
    <w:p w14:paraId="38917D93">
      <w:pPr>
        <w:wordWrap w:val="0"/>
        <w:spacing w:line="360" w:lineRule="auto"/>
        <w:ind w:firstLine="900" w:firstLineChars="300"/>
        <w:rPr>
          <w:rFonts w:ascii="宋体" w:hAnsi="宋体"/>
          <w:b/>
          <w:szCs w:val="21"/>
        </w:rPr>
      </w:pPr>
      <w:r>
        <w:rPr>
          <w:rFonts w:hint="eastAsia" w:ascii="宋体" w:hAnsi="宋体" w:cs="宋体"/>
          <w:sz w:val="30"/>
          <w:szCs w:val="28"/>
          <w:u w:val="single"/>
        </w:rPr>
        <w:t xml:space="preserve">        </w:t>
      </w:r>
      <w:r>
        <w:rPr>
          <w:rFonts w:hint="eastAsia" w:ascii="宋体" w:hAnsi="宋体" w:cs="宋体"/>
          <w:sz w:val="30"/>
          <w:szCs w:val="28"/>
        </w:rPr>
        <w:t>年</w:t>
      </w:r>
      <w:r>
        <w:rPr>
          <w:rFonts w:hint="eastAsia" w:ascii="宋体" w:hAnsi="宋体" w:cs="宋体"/>
          <w:sz w:val="30"/>
          <w:szCs w:val="28"/>
          <w:u w:val="single"/>
        </w:rPr>
        <w:t xml:space="preserve">        </w:t>
      </w:r>
      <w:r>
        <w:rPr>
          <w:rFonts w:hint="eastAsia" w:ascii="宋体" w:hAnsi="宋体" w:cs="宋体"/>
          <w:sz w:val="30"/>
          <w:szCs w:val="28"/>
        </w:rPr>
        <w:t>月</w:t>
      </w:r>
      <w:r>
        <w:rPr>
          <w:rFonts w:hint="eastAsia" w:ascii="宋体" w:hAnsi="宋体" w:cs="宋体"/>
          <w:sz w:val="30"/>
          <w:szCs w:val="28"/>
          <w:u w:val="single"/>
        </w:rPr>
        <w:t xml:space="preserve">        </w:t>
      </w:r>
      <w:r>
        <w:rPr>
          <w:rFonts w:hint="eastAsia" w:ascii="宋体" w:hAnsi="宋体" w:cs="宋体"/>
          <w:sz w:val="30"/>
          <w:szCs w:val="28"/>
        </w:rPr>
        <w:t>日</w:t>
      </w:r>
    </w:p>
    <w:p w14:paraId="3E2A3C23">
      <w:pPr>
        <w:wordWrap w:val="0"/>
        <w:spacing w:line="360" w:lineRule="auto"/>
        <w:rPr>
          <w:rFonts w:ascii="宋体" w:hAnsi="宋体"/>
          <w:b/>
          <w:szCs w:val="21"/>
        </w:rPr>
      </w:pPr>
    </w:p>
    <w:p w14:paraId="14252CFF">
      <w:pPr>
        <w:rPr>
          <w:rFonts w:ascii="宋体" w:hAnsi="宋体" w:cs="宋体"/>
          <w:sz w:val="24"/>
          <w:szCs w:val="18"/>
        </w:rPr>
      </w:pPr>
      <w:r>
        <w:rPr>
          <w:rFonts w:hint="eastAsia" w:ascii="宋体" w:hAnsi="宋体" w:cs="宋体"/>
          <w:sz w:val="24"/>
          <w:szCs w:val="18"/>
        </w:rPr>
        <w:br w:type="page"/>
      </w:r>
    </w:p>
    <w:p w14:paraId="5644E82F">
      <w:pPr>
        <w:pStyle w:val="50"/>
        <w:ind w:left="0" w:leftChars="0" w:firstLine="0" w:firstLineChars="0"/>
        <w:jc w:val="center"/>
        <w:rPr>
          <w:rFonts w:ascii="宋体" w:hAnsi="宋体" w:eastAsia="宋体" w:cs="宋体"/>
          <w:b/>
          <w:bCs/>
          <w:szCs w:val="28"/>
        </w:rPr>
      </w:pPr>
      <w:r>
        <w:rPr>
          <w:rFonts w:hint="eastAsia" w:ascii="宋体" w:hAnsi="宋体" w:eastAsia="宋体" w:cs="宋体"/>
          <w:b/>
          <w:bCs/>
          <w:szCs w:val="28"/>
        </w:rPr>
        <w:t>目  录</w:t>
      </w:r>
    </w:p>
    <w:p w14:paraId="1002B6D8">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一、投标函</w:t>
      </w:r>
    </w:p>
    <w:p w14:paraId="4B638776">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二、开标一览表</w:t>
      </w:r>
    </w:p>
    <w:p w14:paraId="7B9E86ED">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三、资格审查资料</w:t>
      </w:r>
    </w:p>
    <w:p w14:paraId="0CBB428E">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四、反商业贿赂承诺书</w:t>
      </w:r>
    </w:p>
    <w:p w14:paraId="50986B89">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五、采购服务需求响应表</w:t>
      </w:r>
    </w:p>
    <w:p w14:paraId="475B0B59">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六、类似项目业绩情况</w:t>
      </w:r>
    </w:p>
    <w:p w14:paraId="04F84BCB">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七、拟派人员情况表</w:t>
      </w:r>
    </w:p>
    <w:p w14:paraId="43760C02">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八、服务承诺</w:t>
      </w:r>
    </w:p>
    <w:p w14:paraId="2A01E801">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九、服务方案</w:t>
      </w:r>
    </w:p>
    <w:p w14:paraId="666A6114">
      <w:pPr>
        <w:pStyle w:val="50"/>
        <w:spacing w:line="360" w:lineRule="auto"/>
        <w:ind w:firstLine="0" w:firstLineChars="0"/>
        <w:rPr>
          <w:rFonts w:ascii="宋体" w:hAnsi="宋体" w:eastAsia="宋体" w:cs="宋体"/>
          <w:sz w:val="24"/>
          <w:szCs w:val="18"/>
        </w:rPr>
      </w:pPr>
      <w:r>
        <w:rPr>
          <w:rFonts w:hint="eastAsia" w:ascii="宋体" w:hAnsi="宋体" w:eastAsia="宋体" w:cs="宋体"/>
          <w:sz w:val="24"/>
          <w:szCs w:val="18"/>
        </w:rPr>
        <w:t>十、其他资料</w:t>
      </w:r>
    </w:p>
    <w:p w14:paraId="3C139715">
      <w:pPr>
        <w:pStyle w:val="50"/>
        <w:spacing w:line="360" w:lineRule="auto"/>
        <w:ind w:firstLine="480"/>
        <w:rPr>
          <w:rFonts w:ascii="宋体" w:hAnsi="宋体" w:eastAsia="宋体" w:cs="宋体"/>
          <w:sz w:val="24"/>
          <w:szCs w:val="18"/>
        </w:rPr>
      </w:pPr>
    </w:p>
    <w:p w14:paraId="1E9997D7">
      <w:pPr>
        <w:pStyle w:val="228"/>
        <w:ind w:left="0"/>
        <w:jc w:val="both"/>
        <w:rPr>
          <w:sz w:val="24"/>
          <w:szCs w:val="24"/>
          <w:lang w:eastAsia="zh-CN"/>
        </w:rPr>
      </w:pPr>
      <w:r>
        <w:rPr>
          <w:rFonts w:hint="eastAsia"/>
          <w:sz w:val="24"/>
          <w:szCs w:val="24"/>
          <w:lang w:eastAsia="zh-CN"/>
        </w:rPr>
        <w:t>（该目录仅供参考，建议根据评分因素细化目录并标注页码）</w:t>
      </w:r>
    </w:p>
    <w:p w14:paraId="130C9B57">
      <w:pPr>
        <w:pStyle w:val="50"/>
        <w:spacing w:line="360" w:lineRule="auto"/>
        <w:ind w:firstLine="480"/>
        <w:rPr>
          <w:rFonts w:ascii="宋体" w:hAnsi="宋体" w:eastAsia="宋体" w:cs="宋体"/>
          <w:sz w:val="24"/>
          <w:szCs w:val="18"/>
        </w:rPr>
      </w:pPr>
    </w:p>
    <w:p w14:paraId="737F7F6F">
      <w:pPr>
        <w:pStyle w:val="50"/>
        <w:spacing w:line="360" w:lineRule="auto"/>
        <w:ind w:firstLine="480"/>
        <w:rPr>
          <w:rFonts w:ascii="宋体" w:hAnsi="宋体" w:eastAsia="宋体" w:cs="宋体"/>
          <w:sz w:val="24"/>
          <w:szCs w:val="18"/>
        </w:rPr>
      </w:pPr>
    </w:p>
    <w:p w14:paraId="07B89144">
      <w:pPr>
        <w:rPr>
          <w:sz w:val="28"/>
          <w:szCs w:val="18"/>
        </w:rPr>
      </w:pPr>
      <w:bookmarkStart w:id="176" w:name="_Toc6076"/>
      <w:r>
        <w:rPr>
          <w:rFonts w:hint="eastAsia"/>
          <w:sz w:val="28"/>
          <w:szCs w:val="18"/>
        </w:rPr>
        <w:br w:type="page"/>
      </w:r>
    </w:p>
    <w:p w14:paraId="1D5BEDA7">
      <w:pPr>
        <w:pStyle w:val="3"/>
        <w:numPr>
          <w:ilvl w:val="1"/>
          <w:numId w:val="0"/>
        </w:numPr>
        <w:tabs>
          <w:tab w:val="clear" w:pos="3398"/>
        </w:tabs>
        <w:rPr>
          <w:sz w:val="28"/>
          <w:szCs w:val="18"/>
        </w:rPr>
      </w:pPr>
      <w:bookmarkStart w:id="177" w:name="_Toc25195"/>
      <w:bookmarkStart w:id="178" w:name="_Toc27696"/>
      <w:r>
        <w:rPr>
          <w:rFonts w:hint="eastAsia"/>
          <w:sz w:val="28"/>
          <w:szCs w:val="18"/>
        </w:rPr>
        <w:t>一、投标函</w:t>
      </w:r>
      <w:bookmarkEnd w:id="176"/>
      <w:bookmarkEnd w:id="177"/>
      <w:bookmarkEnd w:id="178"/>
    </w:p>
    <w:p w14:paraId="439B5300">
      <w:pPr>
        <w:wordWrap w:val="0"/>
        <w:adjustRightInd w:val="0"/>
        <w:snapToGrid w:val="0"/>
        <w:spacing w:line="360" w:lineRule="auto"/>
        <w:ind w:firstLine="420" w:firstLineChars="200"/>
        <w:rPr>
          <w:rFonts w:ascii="宋体" w:hAnsi="宋体"/>
          <w:szCs w:val="21"/>
        </w:rPr>
      </w:pPr>
    </w:p>
    <w:p w14:paraId="6438E6B6">
      <w:pPr>
        <w:wordWrap w:val="0"/>
        <w:adjustRightInd w:val="0"/>
        <w:snapToGrid w:val="0"/>
        <w:spacing w:line="360" w:lineRule="auto"/>
        <w:rPr>
          <w:rFonts w:ascii="宋体" w:hAnsi="宋体"/>
          <w:szCs w:val="21"/>
        </w:rPr>
      </w:pPr>
      <w:r>
        <w:rPr>
          <w:rFonts w:hint="eastAsia" w:ascii="宋体" w:hAnsi="宋体"/>
          <w:szCs w:val="21"/>
        </w:rPr>
        <w:t>致：河南省中医院（河南中医药大学第二附属医院）</w:t>
      </w:r>
    </w:p>
    <w:p w14:paraId="2EEF4348">
      <w:pPr>
        <w:spacing w:line="360" w:lineRule="auto"/>
        <w:ind w:firstLine="420" w:firstLineChars="200"/>
        <w:rPr>
          <w:rFonts w:ascii="宋体" w:hAnsi="宋体"/>
        </w:rPr>
      </w:pPr>
      <w:r>
        <w:rPr>
          <w:rFonts w:hint="eastAsia" w:ascii="宋体" w:hAnsi="宋体" w:cs="宋体"/>
        </w:rPr>
        <w:t>我们收到了项目编号为</w:t>
      </w:r>
      <w:r>
        <w:rPr>
          <w:rFonts w:hint="eastAsia" w:ascii="宋体" w:hAnsi="宋体" w:cs="楷体_GB2312"/>
          <w:u w:val="single"/>
          <w:lang w:eastAsia="zh-CN"/>
        </w:rPr>
        <w:t>豫财招标采购-2025-418</w:t>
      </w:r>
      <w:r>
        <w:rPr>
          <w:rFonts w:hint="eastAsia" w:ascii="宋体" w:hAnsi="宋体" w:cs="楷体_GB2312"/>
          <w:u w:val="single"/>
        </w:rPr>
        <w:t xml:space="preserve">  </w:t>
      </w:r>
      <w:r>
        <w:rPr>
          <w:rFonts w:hint="eastAsia" w:ascii="宋体" w:hAnsi="宋体" w:cs="宋体"/>
        </w:rPr>
        <w:t>的</w:t>
      </w:r>
      <w:r>
        <w:rPr>
          <w:rFonts w:hint="eastAsia" w:ascii="宋体" w:hAnsi="宋体" w:cs="宋体"/>
          <w:u w:val="single"/>
        </w:rPr>
        <w:t xml:space="preserve"> 河南省中医院（河南中医药大学第二附属医院）劳务派遣服务采购项目 </w:t>
      </w:r>
      <w:r>
        <w:rPr>
          <w:rFonts w:hint="eastAsia" w:ascii="宋体" w:hAnsi="宋体" w:cs="宋体"/>
        </w:rPr>
        <w:t>采购文件，经详细研究，我们决定参加该项目的投标活动并按要求提交投标文件。我们郑重声明以下诸点并负法律责任</w:t>
      </w:r>
      <w:r>
        <w:rPr>
          <w:rFonts w:ascii="宋体" w:hAnsi="宋体"/>
        </w:rPr>
        <w:t>:</w:t>
      </w:r>
    </w:p>
    <w:p w14:paraId="19B810EF">
      <w:pPr>
        <w:spacing w:line="360" w:lineRule="auto"/>
        <w:ind w:firstLine="420" w:firstLineChars="200"/>
        <w:rPr>
          <w:rFonts w:ascii="宋体" w:hAnsi="宋体"/>
        </w:rPr>
      </w:pPr>
      <w:r>
        <w:rPr>
          <w:rFonts w:ascii="宋体" w:hAnsi="宋体"/>
        </w:rPr>
        <w:t xml:space="preserve">(1) </w:t>
      </w:r>
      <w:r>
        <w:rPr>
          <w:rFonts w:hint="eastAsia" w:ascii="宋体" w:hAnsi="宋体" w:cs="宋体"/>
        </w:rPr>
        <w:t>愿按照招标文件中规定的条款和要求，提供完成招标文件规定的全部工作，投标总报价为：大写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ascii="Arial" w:hAnsi="Arial" w:cs="Arial"/>
          <w:kern w:val="0"/>
        </w:rPr>
        <w:t>元</w:t>
      </w:r>
      <w:r>
        <w:rPr>
          <w:rFonts w:hint="eastAsia" w:ascii="宋体" w:hAnsi="宋体" w:cs="宋体"/>
        </w:rPr>
        <w:t>。</w:t>
      </w:r>
    </w:p>
    <w:p w14:paraId="1E7995A7">
      <w:pPr>
        <w:spacing w:line="360" w:lineRule="auto"/>
        <w:ind w:firstLine="420" w:firstLineChars="200"/>
        <w:rPr>
          <w:rFonts w:ascii="宋体" w:hAnsi="宋体"/>
        </w:rPr>
      </w:pPr>
      <w:r>
        <w:rPr>
          <w:rFonts w:ascii="宋体" w:hAnsi="宋体"/>
        </w:rPr>
        <w:t xml:space="preserve">(2) </w:t>
      </w:r>
      <w:r>
        <w:rPr>
          <w:rFonts w:hint="eastAsia" w:ascii="宋体" w:hAnsi="宋体" w:cs="宋体"/>
        </w:rPr>
        <w:t>如果我们的投标文件被接受，我们将履行招标文件中规定的各项要求。</w:t>
      </w:r>
    </w:p>
    <w:p w14:paraId="48AC4652">
      <w:pPr>
        <w:spacing w:line="360" w:lineRule="auto"/>
        <w:ind w:firstLine="420" w:firstLineChars="200"/>
        <w:rPr>
          <w:rFonts w:ascii="宋体" w:hAnsi="宋体"/>
        </w:rPr>
      </w:pPr>
      <w:r>
        <w:rPr>
          <w:rFonts w:ascii="宋体" w:hAnsi="宋体"/>
        </w:rPr>
        <w:t xml:space="preserve">(3) </w:t>
      </w:r>
      <w:r>
        <w:rPr>
          <w:rFonts w:hint="eastAsia" w:ascii="宋体" w:hAnsi="宋体" w:cs="宋体"/>
        </w:rPr>
        <w:t>我们同意本招标文件中有关投标有效期的规定。如果中标，有效期延长至合同终止日止。</w:t>
      </w:r>
    </w:p>
    <w:p w14:paraId="0D851247">
      <w:pPr>
        <w:spacing w:line="360" w:lineRule="auto"/>
        <w:ind w:firstLine="420" w:firstLineChars="200"/>
        <w:rPr>
          <w:rFonts w:ascii="宋体" w:hAnsi="宋体"/>
        </w:rPr>
      </w:pPr>
      <w:r>
        <w:rPr>
          <w:rFonts w:ascii="宋体" w:hAnsi="宋体"/>
        </w:rPr>
        <w:t xml:space="preserve">(4) </w:t>
      </w:r>
      <w:r>
        <w:rPr>
          <w:rFonts w:hint="eastAsia" w:ascii="宋体" w:hAnsi="宋体" w:cs="宋体"/>
        </w:rPr>
        <w:t>我们愿提供招标文件中要求的所有文件资料。</w:t>
      </w:r>
    </w:p>
    <w:p w14:paraId="1481FCDC">
      <w:pPr>
        <w:spacing w:line="360" w:lineRule="auto"/>
        <w:ind w:firstLine="420" w:firstLineChars="200"/>
        <w:rPr>
          <w:rFonts w:ascii="宋体" w:hAnsi="宋体"/>
        </w:rPr>
      </w:pPr>
      <w:r>
        <w:rPr>
          <w:rFonts w:ascii="宋体" w:hAnsi="宋体"/>
        </w:rPr>
        <w:t xml:space="preserve">(5) </w:t>
      </w:r>
      <w:r>
        <w:rPr>
          <w:rFonts w:hint="eastAsia" w:ascii="宋体" w:hAnsi="宋体" w:cs="宋体"/>
        </w:rPr>
        <w:t>我们已经详细审核了全部招标文件，如有需要澄清的问题，我们同意按招标文件规定的时间向采购人提出。逾期不提，我公司同意放弃对这方面有不明及误解的权利。</w:t>
      </w:r>
    </w:p>
    <w:p w14:paraId="629053E0">
      <w:pPr>
        <w:spacing w:line="360" w:lineRule="auto"/>
        <w:ind w:firstLine="420" w:firstLineChars="200"/>
        <w:rPr>
          <w:rFonts w:ascii="宋体" w:hAnsi="宋体"/>
        </w:rPr>
      </w:pPr>
      <w:r>
        <w:rPr>
          <w:rFonts w:ascii="宋体" w:hAnsi="宋体"/>
        </w:rPr>
        <w:t xml:space="preserve">(6) </w:t>
      </w:r>
      <w:r>
        <w:rPr>
          <w:rFonts w:hint="eastAsia" w:ascii="宋体" w:hAnsi="宋体" w:cs="宋体"/>
        </w:rPr>
        <w:t>我们承诺，与采购人、采购人就本次采购的项目委托的咨询机构、集中采购机构、以及上述机构的附属机构没有行政或经济关联。</w:t>
      </w:r>
    </w:p>
    <w:p w14:paraId="78A7339F">
      <w:pPr>
        <w:spacing w:line="360" w:lineRule="auto"/>
        <w:ind w:firstLine="420" w:firstLineChars="200"/>
        <w:rPr>
          <w:rFonts w:ascii="宋体" w:hAnsi="宋体"/>
        </w:rPr>
      </w:pPr>
      <w:r>
        <w:rPr>
          <w:rFonts w:ascii="宋体" w:hAnsi="宋体"/>
        </w:rPr>
        <w:t xml:space="preserve">(7) </w:t>
      </w:r>
      <w:r>
        <w:rPr>
          <w:rFonts w:hint="eastAsia" w:ascii="宋体" w:hAnsi="宋体" w:cs="宋体"/>
        </w:rPr>
        <w:t>我公司同意提供按照采购人可能要求的与其投标有关的一切数据或资料，完全理解采购人不一定接受最低价的投标或收到的任何投标。</w:t>
      </w:r>
    </w:p>
    <w:p w14:paraId="137C7C85">
      <w:pPr>
        <w:spacing w:line="360" w:lineRule="auto"/>
        <w:ind w:firstLine="420" w:firstLineChars="200"/>
        <w:rPr>
          <w:rFonts w:ascii="宋体" w:hAnsi="宋体"/>
        </w:rPr>
      </w:pPr>
      <w:r>
        <w:rPr>
          <w:rFonts w:ascii="宋体" w:hAnsi="宋体"/>
        </w:rPr>
        <w:t xml:space="preserve">(8) </w:t>
      </w:r>
      <w:r>
        <w:rPr>
          <w:rFonts w:hint="eastAsia" w:ascii="宋体"/>
        </w:rPr>
        <w:t>如果我们的投标文件被接受，我们将按招标文件的规定签订并严格履行合同中的责任和义务</w:t>
      </w:r>
      <w:r>
        <w:rPr>
          <w:rFonts w:hint="eastAsia" w:ascii="宋体" w:hAnsi="宋体" w:cs="宋体"/>
        </w:rPr>
        <w:t>。</w:t>
      </w:r>
    </w:p>
    <w:p w14:paraId="7D76FB42">
      <w:pPr>
        <w:spacing w:line="360" w:lineRule="auto"/>
        <w:ind w:firstLine="420" w:firstLineChars="200"/>
        <w:rPr>
          <w:rFonts w:ascii="宋体" w:hAnsi="宋体"/>
        </w:rPr>
      </w:pPr>
      <w:r>
        <w:rPr>
          <w:rFonts w:hint="eastAsia" w:ascii="宋体" w:hAnsi="宋体" w:cs="宋体"/>
        </w:rPr>
        <w:t>与本投标有关的正式通讯地址：</w:t>
      </w:r>
    </w:p>
    <w:p w14:paraId="7985BC63">
      <w:pPr>
        <w:spacing w:line="360" w:lineRule="auto"/>
        <w:ind w:firstLine="420" w:firstLineChars="200"/>
        <w:rPr>
          <w:rFonts w:ascii="宋体" w:hAnsi="宋体" w:cs="宋体"/>
        </w:rPr>
      </w:pPr>
      <w:r>
        <w:rPr>
          <w:rFonts w:hint="eastAsia" w:ascii="宋体" w:hAnsi="宋体" w:cs="宋体"/>
        </w:rPr>
        <w:t xml:space="preserve">地  址：                             </w:t>
      </w:r>
    </w:p>
    <w:p w14:paraId="263345D1">
      <w:pPr>
        <w:spacing w:line="360" w:lineRule="auto"/>
        <w:ind w:firstLine="420" w:firstLineChars="200"/>
        <w:rPr>
          <w:rFonts w:ascii="宋体" w:hAnsi="宋体" w:cs="宋体"/>
        </w:rPr>
      </w:pPr>
      <w:r>
        <w:rPr>
          <w:rFonts w:hint="eastAsia" w:ascii="宋体" w:hAnsi="宋体" w:cs="宋体"/>
        </w:rPr>
        <w:t>邮  编：</w:t>
      </w:r>
    </w:p>
    <w:p w14:paraId="73374557">
      <w:pPr>
        <w:spacing w:line="360" w:lineRule="auto"/>
        <w:ind w:firstLine="420" w:firstLineChars="200"/>
        <w:rPr>
          <w:rFonts w:ascii="宋体" w:hAnsi="宋体" w:cs="宋体"/>
        </w:rPr>
      </w:pPr>
      <w:r>
        <w:rPr>
          <w:rFonts w:hint="eastAsia" w:ascii="宋体" w:hAnsi="宋体" w:cs="宋体"/>
        </w:rPr>
        <w:t xml:space="preserve">电话（法定代表人或授权代理人）：                             </w:t>
      </w:r>
    </w:p>
    <w:p w14:paraId="55778AA9">
      <w:pPr>
        <w:spacing w:line="360" w:lineRule="auto"/>
        <w:ind w:firstLine="420" w:firstLineChars="200"/>
        <w:rPr>
          <w:rFonts w:ascii="宋体" w:hAnsi="宋体" w:cs="宋体"/>
        </w:rPr>
      </w:pPr>
      <w:r>
        <w:rPr>
          <w:rFonts w:hint="eastAsia" w:ascii="宋体" w:hAnsi="宋体" w:cs="宋体"/>
        </w:rPr>
        <w:t>传  真：</w:t>
      </w:r>
    </w:p>
    <w:p w14:paraId="12DEE729">
      <w:pPr>
        <w:wordWrap w:val="0"/>
        <w:adjustRightInd w:val="0"/>
        <w:snapToGrid w:val="0"/>
        <w:spacing w:line="360" w:lineRule="auto"/>
        <w:ind w:firstLine="420" w:firstLineChars="200"/>
        <w:rPr>
          <w:rFonts w:ascii="宋体" w:hAnsi="宋体"/>
          <w:szCs w:val="21"/>
        </w:rPr>
      </w:pPr>
    </w:p>
    <w:p w14:paraId="58B2E311">
      <w:pPr>
        <w:spacing w:line="36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7BC37E42">
      <w:pPr>
        <w:spacing w:line="360" w:lineRule="auto"/>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724E2837">
      <w:pPr>
        <w:wordWrap w:val="0"/>
        <w:spacing w:line="360" w:lineRule="auto"/>
        <w:ind w:firstLine="420" w:firstLineChars="200"/>
        <w:rPr>
          <w:rFonts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D85102F">
      <w:pPr>
        <w:wordWrap w:val="0"/>
        <w:spacing w:line="360" w:lineRule="auto"/>
        <w:rPr>
          <w:rFonts w:ascii="宋体" w:hAnsi="宋体"/>
          <w:szCs w:val="21"/>
        </w:rPr>
      </w:pPr>
    </w:p>
    <w:p w14:paraId="217D6AC8">
      <w:pPr>
        <w:wordWrap w:val="0"/>
        <w:spacing w:line="360" w:lineRule="auto"/>
        <w:rPr>
          <w:rFonts w:ascii="宋体" w:hAnsi="宋体"/>
          <w:szCs w:val="21"/>
        </w:rPr>
      </w:pPr>
    </w:p>
    <w:p w14:paraId="5824AEA9">
      <w:pPr>
        <w:pStyle w:val="3"/>
        <w:numPr>
          <w:ilvl w:val="1"/>
          <w:numId w:val="0"/>
        </w:numPr>
        <w:tabs>
          <w:tab w:val="clear" w:pos="3398"/>
        </w:tabs>
        <w:rPr>
          <w:rFonts w:ascii="宋体" w:hAnsi="宋体"/>
          <w:bCs/>
          <w:szCs w:val="21"/>
        </w:rPr>
      </w:pPr>
      <w:bookmarkStart w:id="179" w:name="_Toc18214"/>
      <w:r>
        <w:rPr>
          <w:rFonts w:hint="eastAsia" w:ascii="宋体" w:hAnsi="宋体"/>
          <w:bCs/>
          <w:sz w:val="21"/>
          <w:szCs w:val="21"/>
        </w:rPr>
        <w:br w:type="page"/>
      </w:r>
      <w:bookmarkEnd w:id="179"/>
      <w:bookmarkStart w:id="180" w:name="_Toc10858"/>
      <w:bookmarkStart w:id="181" w:name="_Toc732"/>
      <w:bookmarkStart w:id="182" w:name="_Toc20847"/>
      <w:r>
        <w:rPr>
          <w:rFonts w:hint="eastAsia" w:ascii="宋体" w:hAnsi="宋体"/>
          <w:bCs/>
          <w:sz w:val="28"/>
          <w:szCs w:val="28"/>
        </w:rPr>
        <w:t>二、开标</w:t>
      </w:r>
      <w:r>
        <w:rPr>
          <w:rFonts w:ascii="宋体" w:hAnsi="宋体"/>
          <w:bCs/>
          <w:sz w:val="28"/>
          <w:szCs w:val="28"/>
        </w:rPr>
        <w:t>一览表</w:t>
      </w:r>
      <w:bookmarkEnd w:id="180"/>
      <w:bookmarkEnd w:id="181"/>
      <w:bookmarkEnd w:id="182"/>
    </w:p>
    <w:tbl>
      <w:tblPr>
        <w:tblStyle w:val="51"/>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259"/>
      </w:tblGrid>
      <w:tr w14:paraId="254A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40" w:type="dxa"/>
            <w:vAlign w:val="center"/>
          </w:tcPr>
          <w:p w14:paraId="7329233C">
            <w:pPr>
              <w:wordWrap w:val="0"/>
              <w:spacing w:line="360" w:lineRule="auto"/>
              <w:jc w:val="center"/>
              <w:rPr>
                <w:rFonts w:ascii="宋体" w:hAnsi="宋体"/>
                <w:szCs w:val="21"/>
              </w:rPr>
            </w:pPr>
            <w:r>
              <w:rPr>
                <w:rFonts w:hint="eastAsia" w:ascii="宋体" w:hAnsi="宋体"/>
                <w:szCs w:val="21"/>
              </w:rPr>
              <w:t>投标人名称</w:t>
            </w:r>
          </w:p>
        </w:tc>
        <w:tc>
          <w:tcPr>
            <w:tcW w:w="6259" w:type="dxa"/>
            <w:vAlign w:val="center"/>
          </w:tcPr>
          <w:p w14:paraId="1ECE738D">
            <w:pPr>
              <w:wordWrap w:val="0"/>
              <w:spacing w:line="360" w:lineRule="auto"/>
              <w:rPr>
                <w:rFonts w:ascii="宋体" w:hAnsi="宋体"/>
                <w:szCs w:val="21"/>
              </w:rPr>
            </w:pPr>
            <w:r>
              <w:rPr>
                <w:rFonts w:hint="eastAsia" w:ascii="宋体" w:hAnsi="宋体"/>
                <w:szCs w:val="21"/>
              </w:rPr>
              <w:t>河南省中医院（河南中医药大学第二附属医院）劳务派遣服务采购项目</w:t>
            </w:r>
          </w:p>
        </w:tc>
      </w:tr>
      <w:tr w14:paraId="5932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240" w:type="dxa"/>
            <w:vAlign w:val="center"/>
          </w:tcPr>
          <w:p w14:paraId="56DA61B3">
            <w:pPr>
              <w:wordWrap w:val="0"/>
              <w:spacing w:line="360" w:lineRule="auto"/>
              <w:jc w:val="center"/>
              <w:rPr>
                <w:rFonts w:ascii="宋体" w:hAnsi="宋体"/>
                <w:szCs w:val="21"/>
              </w:rPr>
            </w:pPr>
            <w:r>
              <w:rPr>
                <w:rFonts w:hint="eastAsia" w:ascii="宋体" w:hAnsi="宋体"/>
                <w:szCs w:val="21"/>
              </w:rPr>
              <w:t>项目编号</w:t>
            </w:r>
          </w:p>
        </w:tc>
        <w:tc>
          <w:tcPr>
            <w:tcW w:w="6259" w:type="dxa"/>
            <w:vAlign w:val="center"/>
          </w:tcPr>
          <w:p w14:paraId="12935198">
            <w:pPr>
              <w:wordWrap w:val="0"/>
              <w:spacing w:line="360" w:lineRule="auto"/>
              <w:rPr>
                <w:rFonts w:hint="eastAsia" w:ascii="宋体" w:hAnsi="宋体" w:eastAsia="宋体"/>
                <w:szCs w:val="21"/>
                <w:lang w:eastAsia="zh-CN"/>
              </w:rPr>
            </w:pPr>
            <w:r>
              <w:rPr>
                <w:rFonts w:hint="eastAsia" w:ascii="宋体" w:hAnsi="宋体"/>
                <w:bCs/>
                <w:szCs w:val="21"/>
                <w:lang w:eastAsia="zh-CN"/>
              </w:rPr>
              <w:t>豫财招标采购-2025-418</w:t>
            </w:r>
          </w:p>
        </w:tc>
      </w:tr>
      <w:tr w14:paraId="2DAB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240" w:type="dxa"/>
            <w:vAlign w:val="center"/>
          </w:tcPr>
          <w:p w14:paraId="78A86FFD">
            <w:pPr>
              <w:wordWrap w:val="0"/>
              <w:spacing w:line="360" w:lineRule="auto"/>
              <w:jc w:val="center"/>
              <w:rPr>
                <w:rFonts w:ascii="宋体" w:hAnsi="宋体"/>
                <w:szCs w:val="21"/>
              </w:rPr>
            </w:pPr>
            <w:r>
              <w:rPr>
                <w:rFonts w:hint="eastAsia" w:ascii="宋体" w:hAnsi="宋体"/>
                <w:szCs w:val="21"/>
              </w:rPr>
              <w:t>投标总报价</w:t>
            </w:r>
          </w:p>
        </w:tc>
        <w:tc>
          <w:tcPr>
            <w:tcW w:w="6259" w:type="dxa"/>
            <w:vAlign w:val="center"/>
          </w:tcPr>
          <w:p w14:paraId="4618B051">
            <w:pPr>
              <w:wordWrap w:val="0"/>
              <w:spacing w:line="360" w:lineRule="auto"/>
              <w:rPr>
                <w:rFonts w:ascii="宋体" w:hAnsi="宋体"/>
                <w:szCs w:val="21"/>
              </w:rPr>
            </w:pPr>
            <w:r>
              <w:rPr>
                <w:rFonts w:hint="eastAsia" w:ascii="宋体" w:hAnsi="宋体"/>
                <w:szCs w:val="21"/>
              </w:rPr>
              <w:t>一年期服务费总报价为（1+2）：</w:t>
            </w:r>
          </w:p>
          <w:p w14:paraId="5C185B2C">
            <w:pPr>
              <w:wordWrap w:val="0"/>
              <w:spacing w:line="360" w:lineRule="auto"/>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26A2B4A5">
            <w:pPr>
              <w:wordWrap w:val="0"/>
              <w:spacing w:line="360" w:lineRule="auto"/>
              <w:rPr>
                <w:rFonts w:ascii="宋体" w:hAnsi="宋体"/>
                <w:szCs w:val="21"/>
                <w:u w:val="single"/>
              </w:rPr>
            </w:pPr>
            <w:r>
              <w:rPr>
                <w:rFonts w:hint="eastAsia" w:ascii="宋体" w:hAnsi="宋体"/>
                <w:szCs w:val="21"/>
              </w:rPr>
              <w:t>（小写）</w:t>
            </w:r>
            <w:r>
              <w:rPr>
                <w:rFonts w:ascii="Arial" w:hAnsi="Arial" w:cs="Arial"/>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4644B236">
            <w:pPr>
              <w:wordWrap w:val="0"/>
              <w:spacing w:line="360" w:lineRule="auto"/>
              <w:rPr>
                <w:rFonts w:ascii="宋体" w:hAnsi="宋体"/>
                <w:szCs w:val="21"/>
              </w:rPr>
            </w:pPr>
            <w:r>
              <w:rPr>
                <w:rFonts w:hint="eastAsia" w:ascii="宋体" w:hAnsi="宋体"/>
                <w:szCs w:val="21"/>
              </w:rPr>
              <w:t>1、其中不可竞价费用（含聘用劳务派遣人员的薪酬、社保、体检、工会福利等）为：</w:t>
            </w:r>
          </w:p>
          <w:p w14:paraId="35575326">
            <w:pPr>
              <w:wordWrap w:val="0"/>
              <w:spacing w:line="360" w:lineRule="auto"/>
              <w:rPr>
                <w:rFonts w:ascii="宋体" w:hAnsi="宋体"/>
                <w:szCs w:val="21"/>
                <w:u w:val="single"/>
              </w:rPr>
            </w:pPr>
            <w:r>
              <w:rPr>
                <w:rFonts w:hint="eastAsia" w:ascii="宋体" w:hAnsi="宋体"/>
                <w:szCs w:val="21"/>
              </w:rPr>
              <w:t>（大写）</w:t>
            </w:r>
            <w:r>
              <w:rPr>
                <w:rFonts w:hint="eastAsia" w:ascii="宋体" w:hAnsi="宋体"/>
                <w:szCs w:val="21"/>
                <w:u w:val="single"/>
              </w:rPr>
              <w:t xml:space="preserve"> 柒佰叁拾伍万叁仟元整   </w:t>
            </w:r>
          </w:p>
          <w:p w14:paraId="153F1488">
            <w:pPr>
              <w:wordWrap w:val="0"/>
              <w:spacing w:line="360" w:lineRule="auto"/>
              <w:rPr>
                <w:rFonts w:ascii="宋体" w:hAnsi="宋体"/>
                <w:szCs w:val="21"/>
                <w:u w:val="single"/>
              </w:rPr>
            </w:pPr>
            <w:r>
              <w:rPr>
                <w:rFonts w:hint="eastAsia" w:ascii="宋体" w:hAnsi="宋体"/>
                <w:szCs w:val="21"/>
              </w:rPr>
              <w:t>（小写）</w:t>
            </w:r>
            <w:r>
              <w:rPr>
                <w:rFonts w:ascii="Arial" w:hAnsi="Arial" w:cs="Arial"/>
                <w:szCs w:val="21"/>
              </w:rPr>
              <w:t>¥</w:t>
            </w:r>
            <w:r>
              <w:rPr>
                <w:rFonts w:hint="eastAsia" w:ascii="宋体" w:hAnsi="宋体"/>
                <w:szCs w:val="21"/>
              </w:rPr>
              <w:t>：</w:t>
            </w:r>
            <w:r>
              <w:rPr>
                <w:rFonts w:hint="eastAsia" w:ascii="宋体" w:hAnsi="宋体"/>
                <w:szCs w:val="21"/>
                <w:u w:val="single"/>
              </w:rPr>
              <w:t xml:space="preserve"> 7353000.00 </w:t>
            </w:r>
            <w:r>
              <w:rPr>
                <w:rFonts w:hint="eastAsia" w:ascii="宋体" w:hAnsi="宋体"/>
                <w:szCs w:val="21"/>
              </w:rPr>
              <w:t>元</w:t>
            </w:r>
          </w:p>
          <w:p w14:paraId="376DDB54">
            <w:pPr>
              <w:wordWrap w:val="0"/>
              <w:spacing w:line="360" w:lineRule="auto"/>
              <w:rPr>
                <w:rFonts w:ascii="宋体" w:hAnsi="宋体"/>
                <w:szCs w:val="21"/>
              </w:rPr>
            </w:pPr>
            <w:r>
              <w:rPr>
                <w:rFonts w:hint="eastAsia" w:ascii="宋体" w:hAnsi="宋体"/>
                <w:szCs w:val="21"/>
              </w:rPr>
              <w:t>2、劳务派遣服务管理费为：</w:t>
            </w:r>
          </w:p>
          <w:p w14:paraId="7AF3AECC">
            <w:pPr>
              <w:wordWrap w:val="0"/>
              <w:spacing w:line="360" w:lineRule="auto"/>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3B728893">
            <w:pPr>
              <w:wordWrap w:val="0"/>
              <w:spacing w:line="360" w:lineRule="auto"/>
            </w:pPr>
            <w:r>
              <w:rPr>
                <w:rFonts w:hint="eastAsia" w:ascii="宋体" w:hAnsi="宋体"/>
                <w:szCs w:val="21"/>
              </w:rPr>
              <w:t>（小写）</w:t>
            </w:r>
            <w:r>
              <w:rPr>
                <w:rFonts w:ascii="Arial" w:hAnsi="Arial" w:cs="Arial"/>
                <w:szCs w:val="21"/>
              </w:rPr>
              <w:t>¥</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r>
      <w:tr w14:paraId="0D12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0" w:type="dxa"/>
            <w:vAlign w:val="center"/>
          </w:tcPr>
          <w:p w14:paraId="33E9B207">
            <w:pPr>
              <w:wordWrap w:val="0"/>
              <w:spacing w:line="360" w:lineRule="auto"/>
              <w:jc w:val="center"/>
            </w:pPr>
            <w:r>
              <w:rPr>
                <w:rFonts w:hint="eastAsia"/>
              </w:rPr>
              <w:t>投标单价</w:t>
            </w:r>
          </w:p>
        </w:tc>
        <w:tc>
          <w:tcPr>
            <w:tcW w:w="6259" w:type="dxa"/>
            <w:vAlign w:val="center"/>
          </w:tcPr>
          <w:p w14:paraId="17143DC8">
            <w:pPr>
              <w:wordWrap w:val="0"/>
              <w:spacing w:line="360" w:lineRule="auto"/>
            </w:pPr>
            <w:r>
              <w:rPr>
                <w:spacing w:val="-2"/>
                <w:u w:val="single"/>
              </w:rPr>
              <w:t xml:space="preserve"> </w:t>
            </w:r>
            <w:r>
              <w:rPr>
                <w:rFonts w:hint="eastAsia"/>
                <w:spacing w:val="-2"/>
                <w:u w:val="single"/>
              </w:rPr>
              <w:t xml:space="preserve">    </w:t>
            </w:r>
            <w:r>
              <w:rPr>
                <w:rFonts w:hint="eastAsia"/>
                <w:spacing w:val="-2"/>
              </w:rPr>
              <w:t>元</w:t>
            </w:r>
            <w:r>
              <w:rPr>
                <w:spacing w:val="-2"/>
              </w:rPr>
              <w:t>/人/月</w:t>
            </w:r>
          </w:p>
        </w:tc>
      </w:tr>
      <w:tr w14:paraId="5825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40" w:type="dxa"/>
            <w:shd w:val="clear" w:color="auto" w:fill="auto"/>
            <w:vAlign w:val="center"/>
          </w:tcPr>
          <w:p w14:paraId="3DAA9956">
            <w:pPr>
              <w:wordWrap w:val="0"/>
              <w:spacing w:line="360" w:lineRule="auto"/>
              <w:jc w:val="center"/>
              <w:rPr>
                <w:rFonts w:ascii="宋体" w:hAnsi="宋体"/>
                <w:szCs w:val="21"/>
              </w:rPr>
            </w:pPr>
            <w:r>
              <w:rPr>
                <w:rFonts w:hint="eastAsia" w:ascii="宋体" w:hAnsi="宋体"/>
                <w:szCs w:val="21"/>
              </w:rPr>
              <w:t>服务期限</w:t>
            </w:r>
          </w:p>
        </w:tc>
        <w:tc>
          <w:tcPr>
            <w:tcW w:w="6259" w:type="dxa"/>
            <w:shd w:val="clear" w:color="auto" w:fill="auto"/>
            <w:vAlign w:val="center"/>
          </w:tcPr>
          <w:p w14:paraId="4DDE6B83">
            <w:pPr>
              <w:tabs>
                <w:tab w:val="left" w:pos="312"/>
              </w:tabs>
              <w:wordWrap w:val="0"/>
              <w:adjustRightInd w:val="0"/>
              <w:snapToGrid w:val="0"/>
              <w:spacing w:before="40" w:after="40" w:line="336" w:lineRule="auto"/>
              <w:rPr>
                <w:rFonts w:ascii="宋体" w:hAnsi="宋体"/>
                <w:szCs w:val="21"/>
              </w:rPr>
            </w:pPr>
          </w:p>
        </w:tc>
      </w:tr>
      <w:tr w14:paraId="3F3D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40" w:type="dxa"/>
            <w:shd w:val="clear" w:color="auto" w:fill="auto"/>
            <w:vAlign w:val="center"/>
          </w:tcPr>
          <w:p w14:paraId="57E32471">
            <w:pPr>
              <w:wordWrap w:val="0"/>
              <w:spacing w:line="360" w:lineRule="auto"/>
              <w:jc w:val="center"/>
              <w:rPr>
                <w:rFonts w:ascii="宋体" w:hAnsi="宋体"/>
                <w:szCs w:val="21"/>
              </w:rPr>
            </w:pPr>
            <w:r>
              <w:rPr>
                <w:rFonts w:hint="eastAsia" w:ascii="宋体" w:hAnsi="宋体"/>
                <w:szCs w:val="21"/>
              </w:rPr>
              <w:t>服务质量</w:t>
            </w:r>
          </w:p>
        </w:tc>
        <w:tc>
          <w:tcPr>
            <w:tcW w:w="6259" w:type="dxa"/>
            <w:shd w:val="clear" w:color="auto" w:fill="auto"/>
            <w:vAlign w:val="center"/>
          </w:tcPr>
          <w:p w14:paraId="7A662751">
            <w:pPr>
              <w:tabs>
                <w:tab w:val="left" w:pos="312"/>
              </w:tabs>
              <w:wordWrap w:val="0"/>
              <w:adjustRightInd w:val="0"/>
              <w:snapToGrid w:val="0"/>
              <w:spacing w:before="40" w:after="40" w:line="336" w:lineRule="auto"/>
              <w:rPr>
                <w:rFonts w:ascii="宋体" w:hAnsi="宋体"/>
                <w:szCs w:val="21"/>
              </w:rPr>
            </w:pPr>
          </w:p>
        </w:tc>
      </w:tr>
      <w:tr w14:paraId="3A1E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40" w:type="dxa"/>
            <w:vAlign w:val="center"/>
          </w:tcPr>
          <w:p w14:paraId="364B2F7B">
            <w:pPr>
              <w:pStyle w:val="224"/>
              <w:spacing w:line="221" w:lineRule="auto"/>
              <w:jc w:val="center"/>
              <w:rPr>
                <w:lang w:eastAsia="zh-CN"/>
              </w:rPr>
            </w:pPr>
            <w:r>
              <w:rPr>
                <w:spacing w:val="-2"/>
              </w:rPr>
              <w:t>投标内容</w:t>
            </w:r>
          </w:p>
        </w:tc>
        <w:tc>
          <w:tcPr>
            <w:tcW w:w="6259" w:type="dxa"/>
          </w:tcPr>
          <w:p w14:paraId="395BA686">
            <w:pPr>
              <w:pStyle w:val="224"/>
              <w:spacing w:before="301" w:line="220" w:lineRule="auto"/>
              <w:jc w:val="left"/>
            </w:pPr>
          </w:p>
        </w:tc>
      </w:tr>
      <w:tr w14:paraId="391A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40" w:type="dxa"/>
            <w:vAlign w:val="center"/>
          </w:tcPr>
          <w:p w14:paraId="2B047D63">
            <w:pPr>
              <w:pStyle w:val="224"/>
              <w:spacing w:line="221" w:lineRule="auto"/>
              <w:jc w:val="center"/>
            </w:pPr>
            <w:r>
              <w:rPr>
                <w:spacing w:val="-2"/>
              </w:rPr>
              <w:t>投标有效期</w:t>
            </w:r>
          </w:p>
        </w:tc>
        <w:tc>
          <w:tcPr>
            <w:tcW w:w="6259" w:type="dxa"/>
            <w:vAlign w:val="center"/>
          </w:tcPr>
          <w:p w14:paraId="6355D1F6">
            <w:pPr>
              <w:rPr>
                <w:rFonts w:ascii="宋体" w:hAnsi="宋体"/>
                <w:szCs w:val="21"/>
              </w:rPr>
            </w:pPr>
            <w:r>
              <w:rPr>
                <w:rFonts w:hint="eastAsia" w:ascii="宋体" w:hAnsi="宋体"/>
                <w:szCs w:val="21"/>
              </w:rPr>
              <w:t>投标文件递交截止之日起90日历天</w:t>
            </w:r>
          </w:p>
        </w:tc>
      </w:tr>
      <w:tr w14:paraId="3477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40" w:type="dxa"/>
            <w:vAlign w:val="center"/>
          </w:tcPr>
          <w:p w14:paraId="0CBE8EBF">
            <w:pPr>
              <w:pStyle w:val="224"/>
              <w:spacing w:line="221" w:lineRule="auto"/>
              <w:jc w:val="center"/>
              <w:rPr>
                <w:spacing w:val="-2"/>
                <w:lang w:eastAsia="zh-CN"/>
              </w:rPr>
            </w:pPr>
            <w:r>
              <w:rPr>
                <w:rFonts w:hint="eastAsia"/>
                <w:spacing w:val="-2"/>
                <w:lang w:eastAsia="zh-CN"/>
              </w:rPr>
              <w:t>付款方式</w:t>
            </w:r>
          </w:p>
        </w:tc>
        <w:tc>
          <w:tcPr>
            <w:tcW w:w="6259" w:type="dxa"/>
            <w:vAlign w:val="center"/>
          </w:tcPr>
          <w:p w14:paraId="18B79299">
            <w:pPr>
              <w:rPr>
                <w:rFonts w:ascii="宋体" w:hAnsi="宋体"/>
                <w:szCs w:val="21"/>
              </w:rPr>
            </w:pPr>
          </w:p>
        </w:tc>
      </w:tr>
      <w:tr w14:paraId="50DB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40" w:type="dxa"/>
            <w:vAlign w:val="center"/>
          </w:tcPr>
          <w:p w14:paraId="3A3CA33A">
            <w:pPr>
              <w:wordWrap w:val="0"/>
              <w:spacing w:line="360" w:lineRule="auto"/>
              <w:jc w:val="center"/>
              <w:rPr>
                <w:rFonts w:ascii="宋体" w:hAnsi="宋体"/>
                <w:szCs w:val="21"/>
              </w:rPr>
            </w:pPr>
            <w:r>
              <w:rPr>
                <w:rFonts w:hint="eastAsia" w:ascii="宋体" w:hAnsi="宋体"/>
                <w:szCs w:val="21"/>
              </w:rPr>
              <w:t>其他声明</w:t>
            </w:r>
          </w:p>
        </w:tc>
        <w:tc>
          <w:tcPr>
            <w:tcW w:w="6259" w:type="dxa"/>
            <w:vAlign w:val="center"/>
          </w:tcPr>
          <w:p w14:paraId="6E90C742">
            <w:pPr>
              <w:wordWrap w:val="0"/>
              <w:spacing w:line="360" w:lineRule="auto"/>
              <w:rPr>
                <w:rFonts w:ascii="宋体" w:hAnsi="宋体"/>
                <w:szCs w:val="21"/>
              </w:rPr>
            </w:pPr>
          </w:p>
        </w:tc>
      </w:tr>
    </w:tbl>
    <w:p w14:paraId="794670F0">
      <w:pPr>
        <w:pStyle w:val="25"/>
        <w:wordWrap w:val="0"/>
        <w:spacing w:line="360" w:lineRule="auto"/>
        <w:ind w:firstLine="420" w:firstLineChars="200"/>
        <w:rPr>
          <w:rFonts w:hAnsi="宋体"/>
          <w:szCs w:val="21"/>
        </w:rPr>
      </w:pPr>
      <w:r>
        <w:rPr>
          <w:rFonts w:hint="eastAsia" w:hAnsi="宋体"/>
          <w:szCs w:val="21"/>
        </w:rPr>
        <w:t>注：</w:t>
      </w:r>
    </w:p>
    <w:p w14:paraId="4011F65B">
      <w:pPr>
        <w:pStyle w:val="25"/>
        <w:wordWrap w:val="0"/>
        <w:spacing w:line="360" w:lineRule="auto"/>
        <w:ind w:firstLine="420" w:firstLineChars="200"/>
        <w:rPr>
          <w:rFonts w:hAnsi="宋体"/>
          <w:szCs w:val="21"/>
        </w:rPr>
      </w:pPr>
      <w:r>
        <w:rPr>
          <w:rFonts w:hint="eastAsia" w:hAnsi="宋体"/>
          <w:szCs w:val="21"/>
        </w:rPr>
        <w:t>1、本表投标总报价为不可竞争费用及可竞争费用总价，人数暂以</w:t>
      </w:r>
      <w:r>
        <w:rPr>
          <w:rFonts w:hint="eastAsia" w:hAnsi="宋体"/>
          <w:bCs/>
          <w:szCs w:val="21"/>
        </w:rPr>
        <w:t>95人</w:t>
      </w:r>
      <w:r>
        <w:rPr>
          <w:rFonts w:hint="eastAsia" w:hAnsi="宋体"/>
          <w:szCs w:val="21"/>
        </w:rPr>
        <w:t>计，以实际人数为准，据实结算。</w:t>
      </w:r>
    </w:p>
    <w:p w14:paraId="100976AC">
      <w:pPr>
        <w:pStyle w:val="25"/>
        <w:wordWrap w:val="0"/>
        <w:spacing w:line="360" w:lineRule="auto"/>
        <w:ind w:firstLine="420" w:firstLineChars="200"/>
        <w:rPr>
          <w:rFonts w:hAnsi="宋体"/>
          <w:szCs w:val="21"/>
        </w:rPr>
      </w:pPr>
      <w:r>
        <w:rPr>
          <w:rFonts w:hint="eastAsia" w:hAnsi="宋体"/>
          <w:szCs w:val="21"/>
        </w:rPr>
        <w:t>2、本表投标总报价应与投标报价表的总报价一致，否则供应商承担被拒标的风险。</w:t>
      </w:r>
    </w:p>
    <w:p w14:paraId="6EA58DEE">
      <w:pPr>
        <w:pStyle w:val="25"/>
        <w:wordWrap w:val="0"/>
        <w:spacing w:line="360" w:lineRule="auto"/>
        <w:ind w:firstLine="420" w:firstLineChars="200"/>
        <w:rPr>
          <w:rFonts w:hAnsi="宋体"/>
          <w:szCs w:val="21"/>
        </w:rPr>
      </w:pPr>
      <w:r>
        <w:rPr>
          <w:rFonts w:hint="eastAsia" w:hAnsi="宋体"/>
          <w:szCs w:val="21"/>
        </w:rPr>
        <w:t>3、投标单价（劳务派遣管理费）：该费用为综合费用，包括人才引进与招聘费用等费用，岗位工资不同不再区分单独报价，请综合考虑）。</w:t>
      </w:r>
    </w:p>
    <w:p w14:paraId="4B27B69D">
      <w:pPr>
        <w:pStyle w:val="25"/>
        <w:wordWrap w:val="0"/>
        <w:spacing w:line="360" w:lineRule="auto"/>
        <w:ind w:firstLine="420" w:firstLineChars="200"/>
        <w:rPr>
          <w:rFonts w:hAnsi="宋体"/>
          <w:szCs w:val="21"/>
        </w:rPr>
      </w:pPr>
      <w:r>
        <w:rPr>
          <w:rFonts w:hint="eastAsia" w:hAnsi="宋体"/>
          <w:szCs w:val="21"/>
        </w:rPr>
        <w:t>4、公开唱标的内容包括对其投标文件的修改或撤回通知等其他内容。</w:t>
      </w:r>
    </w:p>
    <w:p w14:paraId="343F45A3">
      <w:pPr>
        <w:pStyle w:val="25"/>
        <w:wordWrap w:val="0"/>
        <w:spacing w:line="360" w:lineRule="auto"/>
        <w:ind w:firstLine="420" w:firstLineChars="200"/>
        <w:rPr>
          <w:rFonts w:hAnsi="宋体"/>
          <w:szCs w:val="21"/>
        </w:rPr>
      </w:pPr>
      <w:r>
        <w:rPr>
          <w:rFonts w:hint="eastAsia" w:hAnsi="宋体"/>
          <w:szCs w:val="21"/>
        </w:rPr>
        <w:t>5、开标一览表与河南省公共资源交易中心系统格式不一致的，与此为准。</w:t>
      </w:r>
    </w:p>
    <w:p w14:paraId="55474DC6">
      <w:pPr>
        <w:spacing w:line="360" w:lineRule="auto"/>
        <w:ind w:firstLine="420" w:firstLineChars="200"/>
        <w:rPr>
          <w:rFonts w:ascii="宋体" w:hAnsi="宋体" w:cs="宋体"/>
          <w:szCs w:val="21"/>
        </w:rPr>
      </w:pPr>
    </w:p>
    <w:p w14:paraId="384FFB50">
      <w:pPr>
        <w:spacing w:line="360" w:lineRule="auto"/>
        <w:ind w:firstLine="420" w:firstLineChars="200"/>
        <w:rPr>
          <w:rFonts w:ascii="宋体" w:hAnsi="宋体" w:cs="宋体"/>
          <w:szCs w:val="21"/>
        </w:rPr>
      </w:pPr>
    </w:p>
    <w:p w14:paraId="64FD7B41">
      <w:pPr>
        <w:spacing w:line="36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41FB0A11">
      <w:pPr>
        <w:spacing w:line="360" w:lineRule="auto"/>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0B4DA64F">
      <w:pPr>
        <w:pStyle w:val="25"/>
        <w:wordWrap w:val="0"/>
        <w:spacing w:line="360" w:lineRule="auto"/>
        <w:ind w:firstLine="420" w:firstLineChars="200"/>
        <w:rPr>
          <w:rFonts w:hAnsi="宋体"/>
          <w:szCs w:val="21"/>
        </w:rPr>
      </w:pPr>
      <w:r>
        <w:rPr>
          <w:rFonts w:hint="eastAsia" w:hAnsi="宋体" w:cs="宋体"/>
          <w:szCs w:val="21"/>
        </w:rPr>
        <w:t>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14:paraId="47C56FFA">
      <w:pPr>
        <w:pStyle w:val="25"/>
        <w:wordWrap w:val="0"/>
        <w:spacing w:line="360" w:lineRule="auto"/>
        <w:ind w:firstLine="420" w:firstLineChars="200"/>
        <w:rPr>
          <w:rFonts w:hAnsi="宋体"/>
          <w:szCs w:val="21"/>
        </w:rPr>
      </w:pPr>
    </w:p>
    <w:p w14:paraId="73AA6C4D">
      <w:pPr>
        <w:pStyle w:val="25"/>
        <w:wordWrap w:val="0"/>
        <w:spacing w:line="360" w:lineRule="auto"/>
        <w:ind w:firstLine="420" w:firstLineChars="200"/>
        <w:rPr>
          <w:rFonts w:hAnsi="宋体"/>
          <w:szCs w:val="21"/>
        </w:rPr>
      </w:pPr>
    </w:p>
    <w:p w14:paraId="3ED30530">
      <w:pPr>
        <w:rPr>
          <w:rStyle w:val="225"/>
          <w:sz w:val="28"/>
          <w:szCs w:val="28"/>
        </w:rPr>
      </w:pPr>
      <w:bookmarkStart w:id="183" w:name="_Toc18973"/>
      <w:bookmarkStart w:id="184" w:name="_Toc1153"/>
      <w:bookmarkStart w:id="185" w:name="_Toc4597"/>
      <w:bookmarkStart w:id="186" w:name="_Toc17844"/>
      <w:r>
        <w:rPr>
          <w:rStyle w:val="225"/>
          <w:rFonts w:hint="eastAsia"/>
          <w:sz w:val="28"/>
          <w:szCs w:val="28"/>
        </w:rPr>
        <w:br w:type="page"/>
      </w:r>
    </w:p>
    <w:p w14:paraId="06880FF1">
      <w:pPr>
        <w:wordWrap w:val="0"/>
        <w:spacing w:line="360" w:lineRule="auto"/>
        <w:ind w:firstLine="562" w:firstLineChars="200"/>
        <w:jc w:val="center"/>
        <w:rPr>
          <w:rFonts w:ascii="宋体" w:hAnsi="宋体" w:cs="宋体"/>
          <w:sz w:val="28"/>
          <w:szCs w:val="28"/>
        </w:rPr>
      </w:pPr>
      <w:r>
        <w:rPr>
          <w:rStyle w:val="225"/>
          <w:rFonts w:hint="eastAsia"/>
          <w:sz w:val="28"/>
          <w:szCs w:val="28"/>
        </w:rPr>
        <w:t>三、法定代表人身份证明及法定代表人授权委托书</w:t>
      </w:r>
      <w:bookmarkEnd w:id="183"/>
      <w:bookmarkEnd w:id="184"/>
      <w:bookmarkEnd w:id="185"/>
      <w:bookmarkEnd w:id="186"/>
    </w:p>
    <w:p w14:paraId="33493799">
      <w:pPr>
        <w:rPr>
          <w:rFonts w:ascii="宋体" w:hAnsi="宋体" w:cs="宋体"/>
        </w:rPr>
      </w:pPr>
    </w:p>
    <w:p w14:paraId="6A651641">
      <w:pPr>
        <w:pStyle w:val="4"/>
        <w:jc w:val="center"/>
        <w:rPr>
          <w:rFonts w:ascii="宋体" w:hAnsi="宋体" w:cs="宋体"/>
          <w:sz w:val="24"/>
          <w:szCs w:val="16"/>
        </w:rPr>
      </w:pPr>
      <w:bookmarkStart w:id="187" w:name="_Toc11363"/>
      <w:bookmarkStart w:id="188" w:name="_Toc760"/>
      <w:bookmarkStart w:id="189" w:name="_Toc15658"/>
      <w:bookmarkStart w:id="190" w:name="_Toc15720"/>
      <w:r>
        <w:rPr>
          <w:rFonts w:hint="eastAsia" w:ascii="宋体" w:hAnsi="宋体" w:cs="宋体"/>
          <w:sz w:val="24"/>
          <w:szCs w:val="16"/>
        </w:rPr>
        <w:t>1、法定代表人身份证明</w:t>
      </w:r>
      <w:bookmarkEnd w:id="187"/>
      <w:bookmarkEnd w:id="188"/>
      <w:bookmarkEnd w:id="189"/>
      <w:bookmarkEnd w:id="190"/>
    </w:p>
    <w:p w14:paraId="356302F7">
      <w:pPr>
        <w:spacing w:line="440" w:lineRule="exact"/>
        <w:ind w:firstLine="210" w:firstLineChars="1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14:paraId="38CF2966">
      <w:pPr>
        <w:spacing w:line="440" w:lineRule="exact"/>
        <w:ind w:firstLine="210" w:firstLineChars="1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50647556">
      <w:pPr>
        <w:spacing w:line="440" w:lineRule="exact"/>
        <w:ind w:firstLine="210" w:firstLineChars="1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2969A4A9">
      <w:pPr>
        <w:spacing w:line="440" w:lineRule="exact"/>
        <w:ind w:firstLine="210" w:firstLineChars="1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5AF2C02F">
      <w:pPr>
        <w:spacing w:line="440" w:lineRule="exact"/>
        <w:ind w:firstLine="210" w:firstLineChars="1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51EC0268">
      <w:pPr>
        <w:spacing w:line="440" w:lineRule="exact"/>
        <w:ind w:firstLine="210" w:firstLineChars="1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370B477C">
      <w:pPr>
        <w:spacing w:line="440" w:lineRule="exact"/>
        <w:ind w:firstLine="210" w:firstLineChars="1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14:paraId="0B40829C">
      <w:pPr>
        <w:spacing w:line="440" w:lineRule="exact"/>
        <w:ind w:firstLine="630" w:firstLineChars="300"/>
        <w:rPr>
          <w:rFonts w:ascii="宋体" w:hAnsi="宋体" w:cs="宋体"/>
          <w:szCs w:val="21"/>
        </w:rPr>
      </w:pPr>
      <w:r>
        <w:rPr>
          <w:rFonts w:hint="eastAsia" w:ascii="宋体" w:hAnsi="宋体" w:cs="宋体"/>
          <w:szCs w:val="21"/>
        </w:rPr>
        <w:t>特此证明。</w:t>
      </w:r>
    </w:p>
    <w:p w14:paraId="22442F7E">
      <w:pPr>
        <w:spacing w:line="440" w:lineRule="exact"/>
        <w:rPr>
          <w:rFonts w:ascii="宋体" w:hAnsi="宋体" w:cs="宋体"/>
          <w:szCs w:val="21"/>
        </w:rPr>
      </w:pPr>
    </w:p>
    <w:p w14:paraId="5121F62D">
      <w:pPr>
        <w:spacing w:line="440" w:lineRule="exact"/>
        <w:rPr>
          <w:rFonts w:ascii="宋体" w:hAnsi="宋体" w:cs="宋体"/>
          <w:szCs w:val="21"/>
        </w:rPr>
      </w:pPr>
    </w:p>
    <w:p w14:paraId="29D57B92">
      <w:pPr>
        <w:spacing w:line="440" w:lineRule="exact"/>
        <w:ind w:firstLine="3979" w:firstLineChars="1895"/>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xml:space="preserve">                </w:t>
      </w:r>
      <w:r>
        <w:rPr>
          <w:rFonts w:hint="eastAsia" w:ascii="宋体" w:hAnsi="宋体" w:cs="宋体"/>
          <w:kern w:val="0"/>
          <w:szCs w:val="21"/>
        </w:rPr>
        <w:t>（单位电子印章）</w:t>
      </w:r>
    </w:p>
    <w:p w14:paraId="67C671AC">
      <w:pPr>
        <w:spacing w:line="440" w:lineRule="exact"/>
        <w:ind w:firstLine="3979" w:firstLineChars="1895"/>
        <w:jc w:val="lef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（电子签章）</w:t>
      </w:r>
    </w:p>
    <w:p w14:paraId="61CBF6C9">
      <w:pPr>
        <w:spacing w:line="440" w:lineRule="exact"/>
        <w:ind w:firstLine="3979" w:firstLineChars="1895"/>
        <w:jc w:val="lef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EFF45C4">
      <w:pPr>
        <w:spacing w:line="440" w:lineRule="exact"/>
        <w:rPr>
          <w:rFonts w:ascii="宋体" w:hAnsi="宋体" w:cs="宋体"/>
          <w:szCs w:val="21"/>
        </w:rPr>
      </w:pPr>
    </w:p>
    <w:p w14:paraId="5EA939EB">
      <w:pPr>
        <w:spacing w:line="440" w:lineRule="exact"/>
        <w:rPr>
          <w:rFonts w:ascii="宋体" w:hAnsi="宋体" w:cs="宋体"/>
          <w:szCs w:val="21"/>
        </w:rPr>
      </w:pPr>
    </w:p>
    <w:tbl>
      <w:tblPr>
        <w:tblStyle w:val="51"/>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14:paraId="58AE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9" w:hRule="atLeast"/>
          <w:jc w:val="center"/>
        </w:trPr>
        <w:tc>
          <w:tcPr>
            <w:tcW w:w="8629" w:type="dxa"/>
            <w:vAlign w:val="center"/>
          </w:tcPr>
          <w:p w14:paraId="514D8073">
            <w:pPr>
              <w:spacing w:line="440" w:lineRule="exact"/>
              <w:jc w:val="center"/>
              <w:rPr>
                <w:rFonts w:ascii="宋体" w:hAnsi="宋体" w:cs="宋体"/>
                <w:szCs w:val="21"/>
              </w:rPr>
            </w:pPr>
            <w:r>
              <w:rPr>
                <w:rFonts w:hint="eastAsia" w:ascii="宋体" w:hAnsi="宋体" w:cs="宋体"/>
                <w:szCs w:val="21"/>
              </w:rPr>
              <w:t>法定代表人身份证正反面扫描件</w:t>
            </w:r>
          </w:p>
          <w:p w14:paraId="6BF58E2B">
            <w:pPr>
              <w:spacing w:line="440" w:lineRule="exact"/>
              <w:jc w:val="center"/>
              <w:rPr>
                <w:rFonts w:ascii="宋体" w:hAnsi="宋体" w:cs="宋体"/>
                <w:szCs w:val="21"/>
              </w:rPr>
            </w:pPr>
          </w:p>
        </w:tc>
      </w:tr>
    </w:tbl>
    <w:p w14:paraId="693CF340">
      <w:pPr>
        <w:rPr>
          <w:rFonts w:ascii="宋体" w:hAnsi="宋体" w:cs="宋体"/>
        </w:rPr>
      </w:pPr>
    </w:p>
    <w:p w14:paraId="6C36C67F">
      <w:pPr>
        <w:jc w:val="center"/>
        <w:rPr>
          <w:rFonts w:ascii="宋体" w:hAnsi="宋体" w:cs="宋体"/>
        </w:rPr>
      </w:pPr>
      <w:r>
        <w:rPr>
          <w:rFonts w:hint="eastAsia" w:ascii="宋体" w:hAnsi="宋体" w:cs="宋体"/>
        </w:rPr>
        <w:t>（法定代表人负责投标相关事宜的，出具该证明文件）</w:t>
      </w:r>
    </w:p>
    <w:p w14:paraId="119BA391">
      <w:pPr>
        <w:rPr>
          <w:rFonts w:ascii="宋体" w:hAnsi="宋体" w:cs="宋体"/>
        </w:rPr>
      </w:pPr>
      <w:r>
        <w:rPr>
          <w:rFonts w:hint="eastAsia" w:ascii="宋体" w:hAnsi="宋体" w:cs="宋体"/>
        </w:rPr>
        <w:br w:type="page"/>
      </w:r>
    </w:p>
    <w:p w14:paraId="2A04F10E">
      <w:pPr>
        <w:pStyle w:val="4"/>
        <w:jc w:val="center"/>
        <w:rPr>
          <w:rFonts w:ascii="宋体" w:hAnsi="宋体" w:cs="宋体"/>
          <w:sz w:val="24"/>
          <w:szCs w:val="16"/>
        </w:rPr>
      </w:pPr>
      <w:bookmarkStart w:id="191" w:name="_Toc5009"/>
      <w:bookmarkStart w:id="192" w:name="_Toc10091"/>
      <w:bookmarkStart w:id="193" w:name="_Toc7574"/>
      <w:bookmarkStart w:id="194" w:name="_Toc20031"/>
      <w:r>
        <w:rPr>
          <w:rFonts w:hint="eastAsia" w:ascii="宋体" w:hAnsi="宋体" w:cs="宋体"/>
          <w:sz w:val="24"/>
          <w:szCs w:val="16"/>
        </w:rPr>
        <w:t>2、法定代表人授权书</w:t>
      </w:r>
      <w:bookmarkEnd w:id="191"/>
      <w:bookmarkEnd w:id="192"/>
      <w:bookmarkEnd w:id="193"/>
      <w:bookmarkEnd w:id="194"/>
    </w:p>
    <w:p w14:paraId="2B42FE42">
      <w:pPr>
        <w:wordWrap w:val="0"/>
        <w:spacing w:line="360" w:lineRule="auto"/>
        <w:jc w:val="center"/>
        <w:rPr>
          <w:rFonts w:ascii="宋体" w:hAnsi="宋体" w:cs="宋体"/>
          <w:b/>
          <w:szCs w:val="21"/>
        </w:rPr>
      </w:pPr>
    </w:p>
    <w:p w14:paraId="27987174">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（姓名）联系方式：</w:t>
      </w:r>
      <w:r>
        <w:rPr>
          <w:rFonts w:hint="eastAsia" w:ascii="宋体" w:hAnsi="宋体" w:cs="宋体"/>
          <w:szCs w:val="21"/>
          <w:u w:val="single"/>
        </w:rPr>
        <w:t xml:space="preserve">            </w:t>
      </w:r>
      <w:r>
        <w:rPr>
          <w:rFonts w:hint="eastAsia" w:ascii="宋体" w:hAnsi="宋体" w:cs="宋体"/>
          <w:szCs w:val="21"/>
        </w:rPr>
        <w:t>为我方代理人。代理人根据授权，以我方名义签署、澄清、说明、补正、递交、撤回、修改</w:t>
      </w:r>
      <w:r>
        <w:rPr>
          <w:rFonts w:hint="eastAsia" w:ascii="宋体" w:hAnsi="宋体" w:cs="宋体"/>
          <w:szCs w:val="21"/>
          <w:u w:val="single"/>
        </w:rPr>
        <w:t xml:space="preserve"> 河南省中医院（河南中医药大学第二附属医院）劳务派遣服务采购项目  </w:t>
      </w:r>
      <w:r>
        <w:rPr>
          <w:rFonts w:hint="eastAsia" w:ascii="宋体" w:hAnsi="宋体" w:cs="宋体"/>
          <w:szCs w:val="21"/>
        </w:rPr>
        <w:t>投标文件、签订合同和处理有关事宜，其法律后果由我方承担。</w:t>
      </w:r>
    </w:p>
    <w:p w14:paraId="4160A4AC">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（不得短于投标有效期）    </w:t>
      </w:r>
      <w:r>
        <w:rPr>
          <w:rFonts w:hint="eastAsia" w:ascii="宋体" w:hAnsi="宋体" w:cs="宋体"/>
          <w:szCs w:val="21"/>
        </w:rPr>
        <w:t>。</w:t>
      </w:r>
    </w:p>
    <w:p w14:paraId="573BF268">
      <w:pPr>
        <w:spacing w:line="440" w:lineRule="exact"/>
        <w:ind w:firstLine="420" w:firstLineChars="200"/>
        <w:rPr>
          <w:rFonts w:ascii="宋体" w:hAnsi="宋体" w:cs="宋体"/>
          <w:szCs w:val="21"/>
        </w:rPr>
      </w:pPr>
      <w:r>
        <w:rPr>
          <w:rFonts w:hint="eastAsia" w:ascii="宋体" w:hAnsi="宋体" w:cs="宋体"/>
          <w:szCs w:val="21"/>
        </w:rPr>
        <w:t xml:space="preserve"> </w:t>
      </w:r>
    </w:p>
    <w:p w14:paraId="39DAB0F9">
      <w:pPr>
        <w:spacing w:line="440" w:lineRule="exact"/>
        <w:ind w:firstLine="420" w:firstLineChars="200"/>
        <w:rPr>
          <w:rFonts w:ascii="宋体" w:hAnsi="宋体" w:cs="宋体"/>
          <w:szCs w:val="21"/>
        </w:rPr>
      </w:pPr>
      <w:r>
        <w:rPr>
          <w:rFonts w:hint="eastAsia" w:ascii="宋体" w:hAnsi="宋体" w:cs="宋体"/>
          <w:szCs w:val="21"/>
        </w:rPr>
        <w:t>附：法定代表人及授权委托人身份证正反面扫描件</w:t>
      </w:r>
    </w:p>
    <w:p w14:paraId="7B95EFBC">
      <w:pPr>
        <w:spacing w:line="440" w:lineRule="exact"/>
        <w:rPr>
          <w:rFonts w:ascii="宋体" w:hAnsi="宋体" w:cs="宋体"/>
          <w:szCs w:val="21"/>
        </w:rPr>
      </w:pPr>
    </w:p>
    <w:p w14:paraId="4E14ED86">
      <w:pPr>
        <w:spacing w:line="440" w:lineRule="exact"/>
        <w:rPr>
          <w:rFonts w:ascii="宋体" w:hAnsi="宋体" w:cs="宋体"/>
          <w:szCs w:val="21"/>
        </w:rPr>
      </w:pPr>
    </w:p>
    <w:p w14:paraId="5DC30DDE">
      <w:pPr>
        <w:spacing w:line="440" w:lineRule="exact"/>
        <w:ind w:firstLine="2310" w:firstLineChars="110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xml:space="preserve">                              </w:t>
      </w:r>
      <w:r>
        <w:rPr>
          <w:rFonts w:hint="eastAsia" w:ascii="宋体" w:hAnsi="宋体" w:cs="宋体"/>
          <w:kern w:val="0"/>
          <w:szCs w:val="21"/>
        </w:rPr>
        <w:t>（单位电子印章）</w:t>
      </w:r>
    </w:p>
    <w:p w14:paraId="72AEB5FA">
      <w:pPr>
        <w:spacing w:line="440" w:lineRule="exact"/>
        <w:ind w:firstLine="2310" w:firstLineChars="11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（电子签章）</w:t>
      </w:r>
    </w:p>
    <w:p w14:paraId="528E796A">
      <w:pPr>
        <w:spacing w:line="440" w:lineRule="exact"/>
        <w:ind w:firstLine="2310" w:firstLineChars="11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52EEA149">
      <w:pPr>
        <w:wordWrap w:val="0"/>
        <w:spacing w:line="440" w:lineRule="exact"/>
        <w:ind w:right="840"/>
        <w:jc w:val="center"/>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（签字或盖章）</w:t>
      </w:r>
    </w:p>
    <w:p w14:paraId="313F3817">
      <w:pPr>
        <w:spacing w:line="440" w:lineRule="exact"/>
        <w:ind w:firstLine="2310" w:firstLineChars="11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4FDEE70F">
      <w:pPr>
        <w:spacing w:line="440" w:lineRule="exact"/>
        <w:ind w:firstLine="2310" w:firstLineChars="1100"/>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xml:space="preserve">                                 </w:t>
      </w:r>
    </w:p>
    <w:p w14:paraId="444A4DAD">
      <w:pPr>
        <w:spacing w:line="440" w:lineRule="exact"/>
        <w:ind w:firstLine="2310" w:firstLineChars="11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745C501">
      <w:pPr>
        <w:spacing w:line="440" w:lineRule="exact"/>
        <w:rPr>
          <w:rFonts w:ascii="宋体" w:hAnsi="宋体" w:cs="宋体"/>
          <w:szCs w:val="21"/>
        </w:rPr>
      </w:pPr>
    </w:p>
    <w:tbl>
      <w:tblPr>
        <w:tblStyle w:val="51"/>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8"/>
      </w:tblGrid>
      <w:tr w14:paraId="0539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5" w:hRule="atLeast"/>
          <w:jc w:val="center"/>
        </w:trPr>
        <w:tc>
          <w:tcPr>
            <w:tcW w:w="8648" w:type="dxa"/>
            <w:vAlign w:val="center"/>
          </w:tcPr>
          <w:p w14:paraId="46598213">
            <w:pPr>
              <w:spacing w:line="440" w:lineRule="exact"/>
              <w:jc w:val="center"/>
              <w:rPr>
                <w:rFonts w:ascii="宋体" w:hAnsi="宋体" w:cs="宋体"/>
                <w:szCs w:val="21"/>
              </w:rPr>
            </w:pPr>
            <w:r>
              <w:rPr>
                <w:rFonts w:hint="eastAsia" w:ascii="宋体" w:hAnsi="宋体" w:cs="宋体"/>
                <w:szCs w:val="21"/>
              </w:rPr>
              <w:t>法定代表人及委托代理人身份证正反面扫描件</w:t>
            </w:r>
          </w:p>
          <w:p w14:paraId="1D7EB215">
            <w:pPr>
              <w:spacing w:line="440" w:lineRule="exact"/>
              <w:jc w:val="center"/>
              <w:rPr>
                <w:rFonts w:ascii="宋体" w:hAnsi="宋体" w:cs="宋体"/>
                <w:szCs w:val="21"/>
              </w:rPr>
            </w:pPr>
          </w:p>
        </w:tc>
      </w:tr>
    </w:tbl>
    <w:p w14:paraId="6B55A81F">
      <w:pPr>
        <w:spacing w:line="440" w:lineRule="exact"/>
        <w:jc w:val="center"/>
        <w:rPr>
          <w:rFonts w:ascii="宋体" w:hAnsi="宋体" w:cs="宋体"/>
          <w:szCs w:val="21"/>
        </w:rPr>
      </w:pPr>
      <w:r>
        <w:rPr>
          <w:rFonts w:hint="eastAsia" w:ascii="宋体" w:hAnsi="宋体" w:cs="宋体"/>
          <w:szCs w:val="21"/>
        </w:rPr>
        <w:t>（委托代理人负责投标相关事宜的，出具该授权书）</w:t>
      </w:r>
    </w:p>
    <w:p w14:paraId="0F72D616">
      <w:pPr>
        <w:wordWrap w:val="0"/>
        <w:snapToGrid w:val="0"/>
        <w:spacing w:line="360" w:lineRule="auto"/>
        <w:jc w:val="center"/>
        <w:rPr>
          <w:rFonts w:ascii="宋体" w:hAnsi="宋体" w:cs="宋体"/>
          <w:b/>
          <w:bCs/>
          <w:szCs w:val="21"/>
        </w:rPr>
      </w:pPr>
    </w:p>
    <w:p w14:paraId="318B2C26">
      <w:pPr>
        <w:rPr>
          <w:rFonts w:ascii="宋体" w:hAnsi="宋体" w:cs="宋体"/>
        </w:rPr>
      </w:pPr>
      <w:r>
        <w:rPr>
          <w:rFonts w:hint="eastAsia" w:ascii="宋体" w:hAnsi="宋体" w:cs="宋体"/>
        </w:rPr>
        <w:br w:type="page"/>
      </w:r>
    </w:p>
    <w:p w14:paraId="22423725">
      <w:pPr>
        <w:pStyle w:val="3"/>
        <w:numPr>
          <w:ilvl w:val="1"/>
          <w:numId w:val="0"/>
        </w:numPr>
        <w:tabs>
          <w:tab w:val="clear" w:pos="3398"/>
        </w:tabs>
        <w:rPr>
          <w:rFonts w:ascii="宋体" w:hAnsi="宋体" w:cs="宋体"/>
        </w:rPr>
      </w:pPr>
      <w:bookmarkStart w:id="195" w:name="_Toc23565"/>
      <w:bookmarkStart w:id="196" w:name="_Toc13995"/>
      <w:bookmarkStart w:id="197" w:name="_Toc20312"/>
      <w:bookmarkStart w:id="198" w:name="_Toc28536"/>
      <w:r>
        <w:rPr>
          <w:rStyle w:val="69"/>
          <w:rFonts w:hint="eastAsia" w:ascii="宋体" w:hAnsi="宋体" w:cs="宋体"/>
          <w:b/>
          <w:sz w:val="28"/>
          <w:szCs w:val="22"/>
        </w:rPr>
        <w:t>三、资格审查资料</w:t>
      </w:r>
      <w:bookmarkEnd w:id="195"/>
      <w:bookmarkEnd w:id="196"/>
      <w:bookmarkEnd w:id="197"/>
      <w:bookmarkEnd w:id="198"/>
    </w:p>
    <w:p w14:paraId="6E2F7A67">
      <w:pPr>
        <w:pStyle w:val="4"/>
        <w:jc w:val="center"/>
        <w:rPr>
          <w:sz w:val="24"/>
          <w:szCs w:val="16"/>
        </w:rPr>
      </w:pPr>
      <w:bookmarkStart w:id="199" w:name="_Toc10445"/>
      <w:bookmarkStart w:id="200" w:name="_Toc31684"/>
      <w:bookmarkStart w:id="201" w:name="_Toc17983"/>
      <w:bookmarkStart w:id="202" w:name="_Toc31363"/>
      <w:r>
        <w:rPr>
          <w:rFonts w:hint="eastAsia"/>
          <w:sz w:val="24"/>
          <w:szCs w:val="16"/>
        </w:rPr>
        <w:t>1、供应商基本情况表</w:t>
      </w:r>
      <w:bookmarkEnd w:id="199"/>
      <w:bookmarkEnd w:id="200"/>
      <w:bookmarkEnd w:id="201"/>
      <w:bookmarkEnd w:id="202"/>
    </w:p>
    <w:tbl>
      <w:tblPr>
        <w:tblStyle w:val="5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1390"/>
        <w:gridCol w:w="2458"/>
        <w:gridCol w:w="1268"/>
        <w:gridCol w:w="1884"/>
      </w:tblGrid>
      <w:tr w14:paraId="48E9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11D9D5B">
            <w:pPr>
              <w:jc w:val="center"/>
              <w:rPr>
                <w:rFonts w:ascii="宋体" w:hAnsi="宋体" w:cs="宋体"/>
                <w:szCs w:val="21"/>
              </w:rPr>
            </w:pPr>
            <w:r>
              <w:rPr>
                <w:rFonts w:hint="eastAsia" w:ascii="宋体" w:hAnsi="宋体" w:cs="宋体"/>
                <w:szCs w:val="21"/>
              </w:rPr>
              <w:t>投标人名称</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09B83DB2">
            <w:pPr>
              <w:jc w:val="center"/>
              <w:rPr>
                <w:rFonts w:ascii="宋体" w:hAnsi="宋体" w:cs="宋体"/>
                <w:szCs w:val="21"/>
              </w:rPr>
            </w:pPr>
          </w:p>
        </w:tc>
      </w:tr>
      <w:tr w14:paraId="0020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E231C45">
            <w:pPr>
              <w:jc w:val="center"/>
              <w:rPr>
                <w:rFonts w:ascii="宋体" w:hAnsi="宋体" w:cs="宋体"/>
                <w:szCs w:val="21"/>
              </w:rPr>
            </w:pPr>
            <w:r>
              <w:rPr>
                <w:rFonts w:hint="eastAsia" w:ascii="宋体" w:hAnsi="宋体" w:cs="宋体"/>
                <w:szCs w:val="21"/>
              </w:rPr>
              <w:t>注册资金</w:t>
            </w:r>
          </w:p>
        </w:tc>
        <w:tc>
          <w:tcPr>
            <w:tcW w:w="3848" w:type="dxa"/>
            <w:gridSpan w:val="2"/>
            <w:tcBorders>
              <w:top w:val="single" w:color="auto" w:sz="4" w:space="0"/>
              <w:left w:val="single" w:color="auto" w:sz="4" w:space="0"/>
              <w:bottom w:val="single" w:color="auto" w:sz="4" w:space="0"/>
              <w:right w:val="single" w:color="auto" w:sz="4" w:space="0"/>
            </w:tcBorders>
            <w:vAlign w:val="center"/>
          </w:tcPr>
          <w:p w14:paraId="78EE648B">
            <w:pPr>
              <w:jc w:val="center"/>
              <w:rPr>
                <w:rFonts w:ascii="宋体" w:hAnsi="宋体" w:cs="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02DAE63C">
            <w:pPr>
              <w:jc w:val="center"/>
              <w:rPr>
                <w:rFonts w:ascii="宋体" w:hAnsi="宋体" w:cs="宋体"/>
                <w:szCs w:val="21"/>
              </w:rPr>
            </w:pPr>
            <w:r>
              <w:rPr>
                <w:rFonts w:hint="eastAsia" w:ascii="宋体" w:hAnsi="宋体" w:cs="宋体"/>
                <w:szCs w:val="21"/>
              </w:rPr>
              <w:t>成立时间</w:t>
            </w:r>
          </w:p>
        </w:tc>
        <w:tc>
          <w:tcPr>
            <w:tcW w:w="1884" w:type="dxa"/>
            <w:tcBorders>
              <w:top w:val="single" w:color="auto" w:sz="4" w:space="0"/>
              <w:left w:val="single" w:color="auto" w:sz="4" w:space="0"/>
              <w:bottom w:val="single" w:color="auto" w:sz="4" w:space="0"/>
              <w:right w:val="single" w:color="auto" w:sz="4" w:space="0"/>
            </w:tcBorders>
            <w:vAlign w:val="center"/>
          </w:tcPr>
          <w:p w14:paraId="498C58E8">
            <w:pPr>
              <w:jc w:val="center"/>
              <w:rPr>
                <w:rFonts w:ascii="宋体" w:hAnsi="宋体" w:cs="宋体"/>
                <w:szCs w:val="21"/>
              </w:rPr>
            </w:pPr>
          </w:p>
        </w:tc>
      </w:tr>
      <w:tr w14:paraId="381B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F988F34">
            <w:pPr>
              <w:jc w:val="center"/>
              <w:rPr>
                <w:rFonts w:ascii="宋体" w:hAnsi="宋体" w:cs="宋体"/>
                <w:szCs w:val="21"/>
              </w:rPr>
            </w:pPr>
            <w:r>
              <w:rPr>
                <w:rFonts w:hint="eastAsia" w:ascii="宋体" w:hAnsi="宋体" w:cs="宋体"/>
                <w:szCs w:val="21"/>
              </w:rPr>
              <w:t>注册地址</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595BD85A">
            <w:pPr>
              <w:jc w:val="center"/>
              <w:rPr>
                <w:rFonts w:ascii="宋体" w:hAnsi="宋体" w:cs="宋体"/>
                <w:szCs w:val="21"/>
              </w:rPr>
            </w:pPr>
          </w:p>
        </w:tc>
      </w:tr>
      <w:tr w14:paraId="6F8A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E6642D6">
            <w:pPr>
              <w:jc w:val="center"/>
              <w:rPr>
                <w:rFonts w:ascii="宋体" w:hAnsi="宋体" w:cs="宋体"/>
                <w:szCs w:val="21"/>
              </w:rPr>
            </w:pPr>
            <w:r>
              <w:rPr>
                <w:rFonts w:hint="eastAsia" w:ascii="宋体" w:hAnsi="宋体" w:cs="宋体"/>
                <w:szCs w:val="21"/>
              </w:rPr>
              <w:t>邮政编码</w:t>
            </w:r>
          </w:p>
        </w:tc>
        <w:tc>
          <w:tcPr>
            <w:tcW w:w="3848" w:type="dxa"/>
            <w:gridSpan w:val="2"/>
            <w:tcBorders>
              <w:top w:val="single" w:color="auto" w:sz="4" w:space="0"/>
              <w:left w:val="single" w:color="auto" w:sz="4" w:space="0"/>
              <w:bottom w:val="single" w:color="auto" w:sz="4" w:space="0"/>
              <w:right w:val="single" w:color="auto" w:sz="4" w:space="0"/>
            </w:tcBorders>
            <w:vAlign w:val="center"/>
          </w:tcPr>
          <w:p w14:paraId="075BDCE2">
            <w:pPr>
              <w:jc w:val="center"/>
              <w:rPr>
                <w:rFonts w:ascii="宋体" w:hAnsi="宋体" w:cs="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5EE12D3C">
            <w:pPr>
              <w:jc w:val="center"/>
              <w:rPr>
                <w:rFonts w:ascii="宋体" w:hAnsi="宋体" w:cs="宋体"/>
                <w:szCs w:val="21"/>
              </w:rPr>
            </w:pPr>
            <w:r>
              <w:rPr>
                <w:rFonts w:hint="eastAsia" w:ascii="宋体" w:hAnsi="宋体" w:cs="宋体"/>
                <w:szCs w:val="21"/>
              </w:rPr>
              <w:t>员工总数</w:t>
            </w:r>
          </w:p>
        </w:tc>
        <w:tc>
          <w:tcPr>
            <w:tcW w:w="1884" w:type="dxa"/>
            <w:tcBorders>
              <w:top w:val="single" w:color="auto" w:sz="4" w:space="0"/>
              <w:left w:val="single" w:color="auto" w:sz="4" w:space="0"/>
              <w:bottom w:val="single" w:color="auto" w:sz="4" w:space="0"/>
              <w:right w:val="single" w:color="auto" w:sz="4" w:space="0"/>
            </w:tcBorders>
            <w:vAlign w:val="center"/>
          </w:tcPr>
          <w:p w14:paraId="1E5D91DD">
            <w:pPr>
              <w:jc w:val="center"/>
              <w:rPr>
                <w:rFonts w:ascii="宋体" w:hAnsi="宋体" w:cs="宋体"/>
                <w:szCs w:val="21"/>
              </w:rPr>
            </w:pPr>
          </w:p>
        </w:tc>
      </w:tr>
      <w:tr w14:paraId="7410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4" w:type="dxa"/>
            <w:vMerge w:val="restart"/>
            <w:tcBorders>
              <w:top w:val="single" w:color="auto" w:sz="4" w:space="0"/>
              <w:left w:val="single" w:color="auto" w:sz="4" w:space="0"/>
              <w:bottom w:val="single" w:color="auto" w:sz="4" w:space="0"/>
              <w:right w:val="single" w:color="auto" w:sz="4" w:space="0"/>
            </w:tcBorders>
            <w:vAlign w:val="center"/>
          </w:tcPr>
          <w:p w14:paraId="09408550">
            <w:pPr>
              <w:jc w:val="center"/>
              <w:rPr>
                <w:rFonts w:ascii="宋体" w:hAnsi="宋体" w:cs="宋体"/>
                <w:szCs w:val="21"/>
              </w:rPr>
            </w:pPr>
            <w:r>
              <w:rPr>
                <w:rFonts w:hint="eastAsia" w:ascii="宋体" w:hAnsi="宋体" w:cs="宋体"/>
                <w:szCs w:val="21"/>
              </w:rPr>
              <w:t>联系方式</w:t>
            </w:r>
          </w:p>
        </w:tc>
        <w:tc>
          <w:tcPr>
            <w:tcW w:w="1390" w:type="dxa"/>
            <w:tcBorders>
              <w:top w:val="single" w:color="auto" w:sz="4" w:space="0"/>
              <w:left w:val="single" w:color="auto" w:sz="4" w:space="0"/>
              <w:bottom w:val="single" w:color="auto" w:sz="4" w:space="0"/>
              <w:right w:val="single" w:color="auto" w:sz="4" w:space="0"/>
            </w:tcBorders>
            <w:vAlign w:val="center"/>
          </w:tcPr>
          <w:p w14:paraId="679DD60C">
            <w:pPr>
              <w:jc w:val="center"/>
              <w:rPr>
                <w:rFonts w:ascii="宋体" w:hAnsi="宋体" w:cs="宋体"/>
                <w:szCs w:val="21"/>
              </w:rPr>
            </w:pPr>
            <w:r>
              <w:rPr>
                <w:rFonts w:hint="eastAsia" w:ascii="宋体" w:hAnsi="宋体" w:cs="宋体"/>
                <w:szCs w:val="21"/>
              </w:rPr>
              <w:t>联系人</w:t>
            </w:r>
          </w:p>
        </w:tc>
        <w:tc>
          <w:tcPr>
            <w:tcW w:w="2458" w:type="dxa"/>
            <w:tcBorders>
              <w:top w:val="single" w:color="auto" w:sz="4" w:space="0"/>
              <w:left w:val="single" w:color="auto" w:sz="4" w:space="0"/>
              <w:bottom w:val="single" w:color="auto" w:sz="4" w:space="0"/>
              <w:right w:val="single" w:color="auto" w:sz="4" w:space="0"/>
            </w:tcBorders>
            <w:vAlign w:val="center"/>
          </w:tcPr>
          <w:p w14:paraId="1A210178">
            <w:pPr>
              <w:jc w:val="center"/>
              <w:rPr>
                <w:rFonts w:ascii="宋体" w:hAnsi="宋体" w:cs="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30465A27">
            <w:pPr>
              <w:jc w:val="center"/>
              <w:rPr>
                <w:rFonts w:ascii="宋体" w:hAnsi="宋体" w:cs="宋体"/>
                <w:szCs w:val="21"/>
              </w:rPr>
            </w:pPr>
            <w:r>
              <w:rPr>
                <w:rFonts w:hint="eastAsia" w:ascii="宋体" w:hAnsi="宋体" w:cs="宋体"/>
                <w:szCs w:val="21"/>
              </w:rPr>
              <w:t>电话</w:t>
            </w:r>
          </w:p>
        </w:tc>
        <w:tc>
          <w:tcPr>
            <w:tcW w:w="1884" w:type="dxa"/>
            <w:tcBorders>
              <w:top w:val="single" w:color="auto" w:sz="4" w:space="0"/>
              <w:left w:val="single" w:color="auto" w:sz="4" w:space="0"/>
              <w:bottom w:val="single" w:color="auto" w:sz="4" w:space="0"/>
              <w:right w:val="single" w:color="auto" w:sz="4" w:space="0"/>
            </w:tcBorders>
            <w:vAlign w:val="center"/>
          </w:tcPr>
          <w:p w14:paraId="6E480427">
            <w:pPr>
              <w:jc w:val="center"/>
              <w:rPr>
                <w:rFonts w:ascii="宋体" w:hAnsi="宋体" w:cs="宋体"/>
                <w:szCs w:val="21"/>
              </w:rPr>
            </w:pPr>
          </w:p>
        </w:tc>
      </w:tr>
      <w:tr w14:paraId="7C51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4" w:type="dxa"/>
            <w:vMerge w:val="continue"/>
            <w:tcBorders>
              <w:top w:val="single" w:color="auto" w:sz="4" w:space="0"/>
              <w:left w:val="single" w:color="auto" w:sz="4" w:space="0"/>
              <w:bottom w:val="single" w:color="auto" w:sz="4" w:space="0"/>
              <w:right w:val="single" w:color="auto" w:sz="4" w:space="0"/>
            </w:tcBorders>
            <w:vAlign w:val="center"/>
          </w:tcPr>
          <w:p w14:paraId="620048FF">
            <w:pPr>
              <w:widowControl/>
              <w:jc w:val="left"/>
              <w:rPr>
                <w:rFonts w:ascii="宋体" w:hAnsi="宋体" w:cs="宋体"/>
                <w:szCs w:val="21"/>
              </w:rPr>
            </w:pPr>
          </w:p>
        </w:tc>
        <w:tc>
          <w:tcPr>
            <w:tcW w:w="1390" w:type="dxa"/>
            <w:tcBorders>
              <w:top w:val="single" w:color="auto" w:sz="4" w:space="0"/>
              <w:left w:val="single" w:color="auto" w:sz="4" w:space="0"/>
              <w:bottom w:val="single" w:color="auto" w:sz="4" w:space="0"/>
              <w:right w:val="single" w:color="auto" w:sz="4" w:space="0"/>
            </w:tcBorders>
            <w:vAlign w:val="center"/>
          </w:tcPr>
          <w:p w14:paraId="3ECE2372">
            <w:pPr>
              <w:jc w:val="center"/>
              <w:rPr>
                <w:rFonts w:ascii="宋体" w:hAnsi="宋体" w:cs="宋体"/>
                <w:szCs w:val="21"/>
              </w:rPr>
            </w:pPr>
            <w:r>
              <w:rPr>
                <w:rFonts w:hint="eastAsia" w:ascii="宋体" w:hAnsi="宋体" w:cs="宋体"/>
                <w:szCs w:val="21"/>
              </w:rPr>
              <w:t>传真</w:t>
            </w:r>
          </w:p>
        </w:tc>
        <w:tc>
          <w:tcPr>
            <w:tcW w:w="2458" w:type="dxa"/>
            <w:tcBorders>
              <w:top w:val="single" w:color="auto" w:sz="4" w:space="0"/>
              <w:left w:val="single" w:color="auto" w:sz="4" w:space="0"/>
              <w:bottom w:val="single" w:color="auto" w:sz="4" w:space="0"/>
              <w:right w:val="single" w:color="auto" w:sz="4" w:space="0"/>
            </w:tcBorders>
            <w:vAlign w:val="center"/>
          </w:tcPr>
          <w:p w14:paraId="1D85E557">
            <w:pPr>
              <w:jc w:val="center"/>
              <w:rPr>
                <w:rFonts w:ascii="宋体" w:hAnsi="宋体" w:cs="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48437606">
            <w:pPr>
              <w:jc w:val="center"/>
              <w:rPr>
                <w:rFonts w:ascii="宋体" w:hAnsi="宋体" w:cs="宋体"/>
                <w:szCs w:val="21"/>
              </w:rPr>
            </w:pPr>
            <w:r>
              <w:rPr>
                <w:rFonts w:hint="eastAsia" w:ascii="宋体" w:hAnsi="宋体" w:cs="宋体"/>
                <w:szCs w:val="21"/>
              </w:rPr>
              <w:t>网址</w:t>
            </w:r>
          </w:p>
        </w:tc>
        <w:tc>
          <w:tcPr>
            <w:tcW w:w="1884" w:type="dxa"/>
            <w:tcBorders>
              <w:top w:val="single" w:color="auto" w:sz="4" w:space="0"/>
              <w:left w:val="single" w:color="auto" w:sz="4" w:space="0"/>
              <w:bottom w:val="single" w:color="auto" w:sz="4" w:space="0"/>
              <w:right w:val="single" w:color="auto" w:sz="4" w:space="0"/>
            </w:tcBorders>
            <w:vAlign w:val="center"/>
          </w:tcPr>
          <w:p w14:paraId="234F9EE1">
            <w:pPr>
              <w:jc w:val="center"/>
              <w:rPr>
                <w:rFonts w:ascii="宋体" w:hAnsi="宋体" w:cs="宋体"/>
                <w:szCs w:val="21"/>
              </w:rPr>
            </w:pPr>
          </w:p>
        </w:tc>
      </w:tr>
      <w:tr w14:paraId="0102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DF4C2FF">
            <w:pPr>
              <w:jc w:val="center"/>
              <w:rPr>
                <w:rFonts w:ascii="宋体" w:hAnsi="宋体" w:cs="宋体"/>
                <w:szCs w:val="21"/>
              </w:rPr>
            </w:pPr>
            <w:r>
              <w:rPr>
                <w:rFonts w:hint="eastAsia" w:ascii="宋体" w:hAnsi="宋体" w:cs="宋体"/>
                <w:szCs w:val="21"/>
              </w:rPr>
              <w:t>法定代表人</w:t>
            </w:r>
          </w:p>
        </w:tc>
        <w:tc>
          <w:tcPr>
            <w:tcW w:w="1390" w:type="dxa"/>
            <w:tcBorders>
              <w:top w:val="single" w:color="auto" w:sz="4" w:space="0"/>
              <w:left w:val="single" w:color="auto" w:sz="4" w:space="0"/>
              <w:bottom w:val="single" w:color="auto" w:sz="4" w:space="0"/>
              <w:right w:val="single" w:color="auto" w:sz="4" w:space="0"/>
            </w:tcBorders>
            <w:vAlign w:val="center"/>
          </w:tcPr>
          <w:p w14:paraId="31F4CFBC">
            <w:pPr>
              <w:jc w:val="center"/>
              <w:rPr>
                <w:rFonts w:ascii="宋体" w:hAnsi="宋体" w:cs="宋体"/>
                <w:szCs w:val="21"/>
              </w:rPr>
            </w:pPr>
            <w:r>
              <w:rPr>
                <w:rFonts w:hint="eastAsia" w:ascii="宋体" w:hAnsi="宋体" w:cs="宋体"/>
                <w:szCs w:val="21"/>
              </w:rPr>
              <w:t>姓名</w:t>
            </w:r>
          </w:p>
        </w:tc>
        <w:tc>
          <w:tcPr>
            <w:tcW w:w="2458" w:type="dxa"/>
            <w:tcBorders>
              <w:top w:val="single" w:color="auto" w:sz="4" w:space="0"/>
              <w:left w:val="single" w:color="auto" w:sz="4" w:space="0"/>
              <w:bottom w:val="single" w:color="auto" w:sz="4" w:space="0"/>
              <w:right w:val="single" w:color="auto" w:sz="4" w:space="0"/>
            </w:tcBorders>
            <w:vAlign w:val="center"/>
          </w:tcPr>
          <w:p w14:paraId="083CB0BF">
            <w:pPr>
              <w:jc w:val="center"/>
              <w:rPr>
                <w:rFonts w:ascii="宋体" w:hAnsi="宋体" w:cs="宋体"/>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4F3C7137">
            <w:pPr>
              <w:jc w:val="center"/>
              <w:rPr>
                <w:rFonts w:ascii="宋体" w:hAnsi="宋体" w:cs="宋体"/>
                <w:szCs w:val="21"/>
              </w:rPr>
            </w:pPr>
            <w:r>
              <w:rPr>
                <w:rFonts w:hint="eastAsia" w:ascii="宋体" w:hAnsi="宋体" w:cs="宋体"/>
                <w:szCs w:val="21"/>
              </w:rPr>
              <w:t>电话</w:t>
            </w:r>
          </w:p>
        </w:tc>
        <w:tc>
          <w:tcPr>
            <w:tcW w:w="1884" w:type="dxa"/>
            <w:tcBorders>
              <w:top w:val="single" w:color="auto" w:sz="4" w:space="0"/>
              <w:left w:val="single" w:color="auto" w:sz="4" w:space="0"/>
              <w:bottom w:val="single" w:color="auto" w:sz="4" w:space="0"/>
              <w:right w:val="single" w:color="auto" w:sz="4" w:space="0"/>
            </w:tcBorders>
            <w:vAlign w:val="center"/>
          </w:tcPr>
          <w:p w14:paraId="37806A92">
            <w:pPr>
              <w:jc w:val="center"/>
              <w:rPr>
                <w:rFonts w:ascii="宋体" w:hAnsi="宋体" w:cs="宋体"/>
                <w:szCs w:val="21"/>
              </w:rPr>
            </w:pPr>
          </w:p>
        </w:tc>
      </w:tr>
      <w:tr w14:paraId="3636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5A463EB2">
            <w:pPr>
              <w:jc w:val="center"/>
              <w:rPr>
                <w:rFonts w:ascii="宋体" w:hAnsi="宋体" w:cs="宋体"/>
                <w:szCs w:val="21"/>
              </w:rPr>
            </w:pPr>
            <w:r>
              <w:rPr>
                <w:rFonts w:hint="eastAsia" w:ascii="宋体" w:hAnsi="宋体" w:cs="宋体"/>
                <w:szCs w:val="21"/>
              </w:rPr>
              <w:t>基本账户开户银行</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5E47D59F">
            <w:pPr>
              <w:jc w:val="left"/>
              <w:rPr>
                <w:rFonts w:ascii="宋体" w:hAnsi="宋体" w:cs="宋体"/>
                <w:szCs w:val="21"/>
              </w:rPr>
            </w:pPr>
          </w:p>
        </w:tc>
      </w:tr>
      <w:tr w14:paraId="59F8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CA7D64B">
            <w:pPr>
              <w:jc w:val="center"/>
              <w:rPr>
                <w:rFonts w:ascii="宋体" w:hAnsi="宋体" w:cs="宋体"/>
                <w:szCs w:val="21"/>
              </w:rPr>
            </w:pPr>
            <w:r>
              <w:rPr>
                <w:rFonts w:hint="eastAsia" w:ascii="宋体" w:hAnsi="宋体" w:cs="宋体"/>
                <w:szCs w:val="21"/>
              </w:rPr>
              <w:t>基本账户银行账号</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06E9E7A6">
            <w:pPr>
              <w:jc w:val="left"/>
              <w:rPr>
                <w:rFonts w:ascii="宋体" w:hAnsi="宋体" w:cs="宋体"/>
                <w:szCs w:val="21"/>
              </w:rPr>
            </w:pPr>
          </w:p>
        </w:tc>
      </w:tr>
      <w:tr w14:paraId="7E2D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DCA4469">
            <w:pPr>
              <w:jc w:val="center"/>
              <w:rPr>
                <w:rFonts w:ascii="宋体" w:hAnsi="宋体" w:cs="宋体"/>
                <w:szCs w:val="21"/>
              </w:rPr>
            </w:pPr>
            <w:r>
              <w:rPr>
                <w:rFonts w:hint="eastAsia" w:ascii="宋体" w:hAnsi="宋体" w:cs="宋体"/>
                <w:szCs w:val="21"/>
              </w:rPr>
              <w:t>投标设备制造商名称</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5CE50615">
            <w:pPr>
              <w:jc w:val="left"/>
              <w:rPr>
                <w:rFonts w:ascii="宋体" w:hAnsi="宋体" w:cs="宋体"/>
                <w:szCs w:val="21"/>
              </w:rPr>
            </w:pPr>
          </w:p>
        </w:tc>
      </w:tr>
      <w:tr w14:paraId="0EA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95349D1">
            <w:pPr>
              <w:spacing w:line="360" w:lineRule="auto"/>
              <w:jc w:val="center"/>
              <w:rPr>
                <w:rFonts w:ascii="宋体" w:hAnsi="宋体" w:cs="宋体"/>
                <w:szCs w:val="21"/>
              </w:rPr>
            </w:pPr>
            <w:r>
              <w:rPr>
                <w:rFonts w:hint="eastAsia" w:ascii="宋体" w:hAnsi="宋体" w:cs="宋体"/>
                <w:szCs w:val="21"/>
              </w:rPr>
              <w:t>供应商关联企业情况</w:t>
            </w:r>
          </w:p>
          <w:p w14:paraId="09D770F8">
            <w:pPr>
              <w:spacing w:line="360" w:lineRule="auto"/>
              <w:jc w:val="center"/>
              <w:rPr>
                <w:rFonts w:ascii="宋体" w:hAnsi="宋体" w:cs="宋体"/>
                <w:szCs w:val="21"/>
              </w:rPr>
            </w:pPr>
            <w:r>
              <w:rPr>
                <w:rFonts w:hint="eastAsia" w:ascii="宋体" w:hAnsi="宋体" w:cs="宋体"/>
                <w:szCs w:val="21"/>
              </w:rPr>
              <w:t>（包括但不限于与供应商法定代表人（单位负责人）为同一人或者存在控股、管理关系的不同单位）</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73318876">
            <w:pPr>
              <w:jc w:val="left"/>
              <w:rPr>
                <w:rFonts w:ascii="宋体" w:hAnsi="宋体" w:cs="宋体"/>
                <w:szCs w:val="21"/>
              </w:rPr>
            </w:pPr>
          </w:p>
        </w:tc>
      </w:tr>
      <w:tr w14:paraId="30C6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54CE8241">
            <w:pPr>
              <w:jc w:val="center"/>
              <w:rPr>
                <w:rFonts w:ascii="宋体" w:hAnsi="宋体" w:cs="宋体"/>
                <w:szCs w:val="21"/>
              </w:rPr>
            </w:pPr>
            <w:r>
              <w:rPr>
                <w:rFonts w:hint="eastAsia" w:ascii="宋体" w:hAnsi="宋体" w:cs="宋体"/>
                <w:szCs w:val="21"/>
              </w:rPr>
              <w:t>备注</w:t>
            </w:r>
          </w:p>
        </w:tc>
        <w:tc>
          <w:tcPr>
            <w:tcW w:w="7000" w:type="dxa"/>
            <w:gridSpan w:val="4"/>
            <w:tcBorders>
              <w:top w:val="single" w:color="auto" w:sz="4" w:space="0"/>
              <w:left w:val="single" w:color="auto" w:sz="4" w:space="0"/>
              <w:bottom w:val="single" w:color="auto" w:sz="4" w:space="0"/>
              <w:right w:val="single" w:color="auto" w:sz="4" w:space="0"/>
            </w:tcBorders>
            <w:vAlign w:val="center"/>
          </w:tcPr>
          <w:p w14:paraId="0499711C">
            <w:pPr>
              <w:ind w:firstLine="420" w:firstLineChars="200"/>
              <w:jc w:val="left"/>
              <w:rPr>
                <w:rFonts w:ascii="宋体" w:hAnsi="宋体" w:cs="宋体"/>
                <w:szCs w:val="21"/>
              </w:rPr>
            </w:pPr>
          </w:p>
        </w:tc>
      </w:tr>
    </w:tbl>
    <w:p w14:paraId="48219425">
      <w:pPr>
        <w:spacing w:line="360" w:lineRule="auto"/>
        <w:jc w:val="left"/>
        <w:rPr>
          <w:rFonts w:ascii="宋体" w:hAnsi="宋体" w:cs="宋体"/>
          <w:szCs w:val="21"/>
        </w:rPr>
      </w:pPr>
    </w:p>
    <w:p w14:paraId="42A0AD3A">
      <w:pPr>
        <w:spacing w:line="360" w:lineRule="auto"/>
        <w:jc w:val="left"/>
        <w:rPr>
          <w:rFonts w:ascii="宋体" w:hAnsi="宋体" w:cs="宋体"/>
          <w:szCs w:val="21"/>
        </w:rPr>
      </w:pPr>
      <w:r>
        <w:rPr>
          <w:rFonts w:hint="eastAsia" w:ascii="宋体" w:hAnsi="宋体" w:cs="宋体"/>
          <w:szCs w:val="21"/>
        </w:rPr>
        <w:t>注：供应商应根据供应商须知前附表在本表后附营业执照或其他组织证照；</w:t>
      </w:r>
    </w:p>
    <w:p w14:paraId="16F6AE02">
      <w:pPr>
        <w:spacing w:line="520" w:lineRule="exact"/>
        <w:ind w:firstLine="420" w:firstLineChars="200"/>
        <w:rPr>
          <w:rFonts w:ascii="宋体" w:hAnsi="宋体" w:cs="宋体"/>
          <w:szCs w:val="21"/>
        </w:rPr>
      </w:pPr>
      <w:r>
        <w:rPr>
          <w:rFonts w:hint="eastAsia" w:ascii="宋体" w:hAnsi="宋体" w:cs="宋体"/>
          <w:bCs/>
          <w:szCs w:val="21"/>
        </w:rPr>
        <w:br w:type="page"/>
      </w:r>
    </w:p>
    <w:p w14:paraId="32AA9B9E">
      <w:pPr>
        <w:pStyle w:val="226"/>
        <w:spacing w:line="440" w:lineRule="exact"/>
        <w:outlineLvl w:val="2"/>
        <w:rPr>
          <w:rStyle w:val="227"/>
          <w:rFonts w:asciiTheme="minorEastAsia" w:hAnsiTheme="minorEastAsia" w:cstheme="minorEastAsia"/>
          <w:b/>
        </w:rPr>
      </w:pPr>
      <w:bookmarkStart w:id="203" w:name="_Toc7658"/>
      <w:bookmarkStart w:id="204" w:name="_Toc5777"/>
      <w:bookmarkStart w:id="205" w:name="_Toc25259"/>
      <w:bookmarkStart w:id="206" w:name="_Toc31121"/>
      <w:r>
        <w:rPr>
          <w:rFonts w:hint="eastAsia"/>
          <w:sz w:val="24"/>
          <w:szCs w:val="16"/>
        </w:rPr>
        <w:t>2、</w:t>
      </w:r>
      <w:bookmarkStart w:id="207" w:name="_Toc24717"/>
      <w:bookmarkStart w:id="208" w:name="_Toc31966"/>
      <w:r>
        <w:rPr>
          <w:rStyle w:val="227"/>
          <w:rFonts w:hint="eastAsia" w:asciiTheme="minorEastAsia" w:hAnsiTheme="minorEastAsia" w:eastAsiaTheme="minorEastAsia" w:cstheme="minorEastAsia"/>
          <w:b/>
        </w:rPr>
        <w:t>投标承诺函</w:t>
      </w:r>
      <w:bookmarkEnd w:id="203"/>
      <w:bookmarkEnd w:id="204"/>
      <w:bookmarkEnd w:id="207"/>
      <w:bookmarkEnd w:id="208"/>
    </w:p>
    <w:p w14:paraId="31A4DB58">
      <w:pPr>
        <w:tabs>
          <w:tab w:val="left" w:pos="1680"/>
          <w:tab w:val="left" w:pos="3580"/>
          <w:tab w:val="left" w:pos="4100"/>
          <w:tab w:val="left" w:pos="8000"/>
        </w:tabs>
        <w:spacing w:line="440" w:lineRule="exact"/>
        <w:jc w:val="left"/>
        <w:rPr>
          <w:rStyle w:val="222"/>
          <w:rFonts w:ascii="宋体" w:hAnsi="宋体" w:cs="宋体"/>
          <w:kern w:val="0"/>
          <w:szCs w:val="21"/>
        </w:rPr>
      </w:pPr>
      <w:r>
        <w:rPr>
          <w:rStyle w:val="222"/>
          <w:rFonts w:hint="eastAsia" w:ascii="宋体" w:hAnsi="宋体" w:cs="宋体"/>
          <w:kern w:val="0"/>
          <w:szCs w:val="21"/>
        </w:rPr>
        <w:t>致</w:t>
      </w:r>
      <w:r>
        <w:rPr>
          <w:rFonts w:hint="eastAsia" w:ascii="宋体" w:hAnsi="宋体" w:cs="宋体"/>
          <w:u w:val="single"/>
        </w:rPr>
        <w:t>河南省中医院（河南中医药大学第二附属医院）</w:t>
      </w:r>
      <w:r>
        <w:rPr>
          <w:rStyle w:val="222"/>
          <w:rFonts w:hint="eastAsia" w:ascii="宋体" w:hAnsi="宋体" w:cs="宋体"/>
          <w:kern w:val="0"/>
          <w:szCs w:val="21"/>
          <w:u w:val="single" w:color="000000"/>
        </w:rPr>
        <w:t>及中建山河建设管理集团有限公司</w:t>
      </w:r>
      <w:r>
        <w:rPr>
          <w:rStyle w:val="222"/>
          <w:rFonts w:hint="eastAsia" w:ascii="宋体" w:hAnsi="宋体" w:cs="宋体"/>
          <w:kern w:val="0"/>
          <w:szCs w:val="21"/>
        </w:rPr>
        <w:t>：</w:t>
      </w:r>
    </w:p>
    <w:p w14:paraId="2A9D5D8E">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我公司作为本次采购项目的投标人，根据招标文件要求，现郑重承诺如下：</w:t>
      </w:r>
    </w:p>
    <w:p w14:paraId="2826720E">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一、具备《中华人民共和国政府采购法》第二十二条和本项目规定的条件：</w:t>
      </w:r>
    </w:p>
    <w:p w14:paraId="18A0EC2E">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（一）具有独立承担民事责任的能力；</w:t>
      </w:r>
    </w:p>
    <w:p w14:paraId="11544E35">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（二）具有良好的商业信誉和健全的财务会计制度；</w:t>
      </w:r>
    </w:p>
    <w:p w14:paraId="59792BD3">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（三）具有履行合同所必需的设备和专业技术能力；</w:t>
      </w:r>
    </w:p>
    <w:p w14:paraId="0F07E521">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（四）有依法缴纳税收和社会保障资金的良好记录；</w:t>
      </w:r>
    </w:p>
    <w:p w14:paraId="2C78439A">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（五）参加政府采购活动前三年内，在经营活动中没有重大违法记录；</w:t>
      </w:r>
    </w:p>
    <w:p w14:paraId="0BBDFF88">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（六）法律、行政法规规定的其他条件；</w:t>
      </w:r>
    </w:p>
    <w:p w14:paraId="485FABEE">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（七）根据采购项目提出的特殊条件。</w:t>
      </w:r>
    </w:p>
    <w:p w14:paraId="68FD8545">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9C3FFC3">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三、参加本次招标采购活动，不存在与单位负责人为同一人或者存在直接控股、管理关系的其他投标人参与同一合同项下的政府采购活动的行为。</w:t>
      </w:r>
    </w:p>
    <w:p w14:paraId="78C2582A">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四、参加本次招标采购活动，不存在和其他投标人在同一合同项下的采购项目中，同时委托同一个自然人、同一家庭的人员、同一单位的人员作为代理人的行为。</w:t>
      </w:r>
    </w:p>
    <w:p w14:paraId="072B2FF8">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五、投标人参加本次政府采购活动要求在近三年内投标人和其法定代表人没有行贿犯罪行为。</w:t>
      </w:r>
    </w:p>
    <w:p w14:paraId="6D87D8B0">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六、参加本次招标采购活动，不存在联合体投标。</w:t>
      </w:r>
    </w:p>
    <w:p w14:paraId="0C69DC8E">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七、存在以下行为之一的愿意接受相关部门的处理：</w:t>
      </w:r>
    </w:p>
    <w:p w14:paraId="39DB2AE4">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（一）投标有效期内撤销投标文件的；</w:t>
      </w:r>
    </w:p>
    <w:p w14:paraId="2E7109DF">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（二）在采购人确定成交投标人以前放弃中标候选资格的；</w:t>
      </w:r>
    </w:p>
    <w:p w14:paraId="49F86E6B">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（三）由于成交投标人的原因未能按照招标文件的规定与采购人签订合同；</w:t>
      </w:r>
    </w:p>
    <w:p w14:paraId="1859D8C9">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（四）由于成交投标人的原因未能按照招标文件的规定交纳履约保证金；</w:t>
      </w:r>
    </w:p>
    <w:p w14:paraId="0CF6E3A5">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（五）在投标文件中提供虚假材料谋取中标；</w:t>
      </w:r>
    </w:p>
    <w:p w14:paraId="3A1854B5">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（六）与采购人、其他投标人或者采购代理机构恶意串通的；</w:t>
      </w:r>
    </w:p>
    <w:p w14:paraId="169250AC">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（七）投标有效期内，投标人在政府采购活动中有违法、违规、违纪行为。</w:t>
      </w:r>
    </w:p>
    <w:p w14:paraId="57671D2E">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由此产生的一切法律后果和责任由我公司承担。我公司声明放弃对此提出任何异议和追索的权利。</w:t>
      </w:r>
    </w:p>
    <w:p w14:paraId="58E0D822">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r>
        <w:rPr>
          <w:rStyle w:val="222"/>
          <w:rFonts w:hint="eastAsia" w:ascii="宋体" w:hAnsi="宋体" w:cs="宋体"/>
          <w:kern w:val="0"/>
          <w:szCs w:val="21"/>
        </w:rPr>
        <w:t>本公司对上述承诺的内容事项真实性负责。如经查实上述承诺的内容事项存在虚假，我公司愿意接受以提供虚假材料谋取中标追究法律责任。</w:t>
      </w:r>
    </w:p>
    <w:p w14:paraId="05A53167">
      <w:pPr>
        <w:tabs>
          <w:tab w:val="left" w:pos="1680"/>
          <w:tab w:val="left" w:pos="3580"/>
          <w:tab w:val="left" w:pos="4100"/>
          <w:tab w:val="left" w:pos="8000"/>
        </w:tabs>
        <w:spacing w:line="440" w:lineRule="exact"/>
        <w:ind w:firstLine="420" w:firstLineChars="200"/>
        <w:jc w:val="left"/>
        <w:rPr>
          <w:rStyle w:val="222"/>
          <w:rFonts w:ascii="宋体" w:hAnsi="宋体" w:cs="宋体"/>
          <w:kern w:val="0"/>
          <w:szCs w:val="21"/>
        </w:rPr>
      </w:pPr>
    </w:p>
    <w:p w14:paraId="142FCA5C">
      <w:pPr>
        <w:spacing w:line="440" w:lineRule="exact"/>
        <w:ind w:firstLine="420" w:firstLineChars="200"/>
        <w:jc w:val="left"/>
        <w:rPr>
          <w:rStyle w:val="222"/>
          <w:rFonts w:asciiTheme="minorEastAsia" w:hAnsiTheme="minorEastAsia" w:eastAsiaTheme="minorEastAsia" w:cstheme="minorEastAsia"/>
          <w:szCs w:val="21"/>
        </w:rPr>
      </w:pPr>
    </w:p>
    <w:p w14:paraId="20067C91">
      <w:pPr>
        <w:spacing w:line="520" w:lineRule="exact"/>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5696C99D">
      <w:pPr>
        <w:spacing w:line="520" w:lineRule="exact"/>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38A94670">
      <w:pPr>
        <w:spacing w:line="5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5FCCD2">
      <w:pPr>
        <w:bidi w:val="0"/>
      </w:pPr>
    </w:p>
    <w:p w14:paraId="69BAEEA9">
      <w:pPr>
        <w:rPr>
          <w:sz w:val="24"/>
          <w:szCs w:val="16"/>
        </w:rPr>
      </w:pPr>
      <w:r>
        <w:rPr>
          <w:rFonts w:hint="eastAsia"/>
          <w:sz w:val="24"/>
          <w:szCs w:val="16"/>
        </w:rPr>
        <w:br w:type="page"/>
      </w:r>
    </w:p>
    <w:p w14:paraId="7CDA0715">
      <w:pPr>
        <w:pStyle w:val="4"/>
        <w:jc w:val="center"/>
        <w:rPr>
          <w:sz w:val="24"/>
          <w:szCs w:val="16"/>
        </w:rPr>
      </w:pPr>
      <w:bookmarkStart w:id="209" w:name="_Toc6793"/>
      <w:bookmarkStart w:id="210" w:name="_Toc19438"/>
      <w:r>
        <w:rPr>
          <w:rFonts w:hint="eastAsia"/>
          <w:sz w:val="24"/>
          <w:szCs w:val="16"/>
        </w:rPr>
        <w:t>3、资格证明材料</w:t>
      </w:r>
      <w:bookmarkEnd w:id="205"/>
      <w:bookmarkEnd w:id="206"/>
      <w:bookmarkEnd w:id="209"/>
      <w:bookmarkEnd w:id="210"/>
    </w:p>
    <w:p w14:paraId="2B83CAF4">
      <w:pPr>
        <w:adjustRightInd w:val="0"/>
        <w:snapToGrid w:val="0"/>
        <w:spacing w:line="360" w:lineRule="exact"/>
        <w:jc w:val="center"/>
        <w:rPr>
          <w:rFonts w:ascii="宋体" w:hAnsi="宋体" w:cs="宋体"/>
          <w:szCs w:val="21"/>
        </w:rPr>
      </w:pPr>
      <w:r>
        <w:rPr>
          <w:rFonts w:hint="eastAsia" w:ascii="宋体" w:hAnsi="宋体" w:cs="宋体"/>
          <w:szCs w:val="21"/>
        </w:rPr>
        <w:t>（按照第三章资格审查表规定内容逐一提供）</w:t>
      </w:r>
    </w:p>
    <w:p w14:paraId="00F3CE2D">
      <w:pPr>
        <w:adjustRightInd w:val="0"/>
        <w:snapToGrid w:val="0"/>
        <w:spacing w:line="360" w:lineRule="exact"/>
        <w:jc w:val="center"/>
        <w:rPr>
          <w:rFonts w:ascii="宋体" w:hAnsi="宋体" w:cs="宋体"/>
          <w:szCs w:val="21"/>
        </w:rPr>
      </w:pPr>
    </w:p>
    <w:p w14:paraId="2AFCED59">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kern w:val="44"/>
          <w:sz w:val="21"/>
          <w:szCs w:val="21"/>
        </w:rPr>
        <w:t>（1）</w:t>
      </w:r>
      <w:r>
        <w:rPr>
          <w:rFonts w:hint="eastAsia" w:ascii="宋体" w:hAnsi="宋体" w:eastAsia="宋体" w:cs="宋体"/>
          <w:sz w:val="21"/>
          <w:szCs w:val="21"/>
        </w:rPr>
        <w:t>具有独立承担民事责任的能力</w:t>
      </w:r>
    </w:p>
    <w:p w14:paraId="31D7AFA4">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提供法人或者其它组织的营业执照等证明文件</w:t>
      </w:r>
    </w:p>
    <w:p w14:paraId="4283EE9F">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kern w:val="44"/>
          <w:sz w:val="21"/>
          <w:szCs w:val="21"/>
        </w:rPr>
        <w:t>（2）</w:t>
      </w:r>
      <w:r>
        <w:rPr>
          <w:rFonts w:hint="eastAsia" w:ascii="宋体" w:hAnsi="宋体" w:eastAsia="宋体" w:cs="宋体"/>
          <w:sz w:val="21"/>
          <w:szCs w:val="21"/>
        </w:rPr>
        <w:t>具有良好的商业信誉和健全的财务会计制度</w:t>
      </w:r>
    </w:p>
    <w:p w14:paraId="0F505F45">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提供2023年度</w:t>
      </w:r>
      <w:r>
        <w:rPr>
          <w:rFonts w:hint="eastAsia" w:ascii="宋体" w:hAnsi="宋体" w:eastAsia="宋体" w:cs="宋体"/>
          <w:sz w:val="21"/>
          <w:szCs w:val="21"/>
          <w:lang w:eastAsia="zh-CN"/>
        </w:rPr>
        <w:t>或者</w:t>
      </w:r>
      <w:r>
        <w:rPr>
          <w:rFonts w:hint="eastAsia" w:ascii="宋体" w:hAnsi="宋体" w:eastAsia="宋体" w:cs="宋体"/>
          <w:sz w:val="21"/>
          <w:szCs w:val="21"/>
          <w:lang w:val="en-US" w:eastAsia="zh-CN"/>
        </w:rPr>
        <w:t>2024年度</w:t>
      </w:r>
      <w:r>
        <w:rPr>
          <w:rFonts w:hint="eastAsia" w:ascii="宋体" w:hAnsi="宋体" w:eastAsia="宋体" w:cs="宋体"/>
          <w:sz w:val="21"/>
          <w:szCs w:val="21"/>
        </w:rPr>
        <w:t>经第三方审计机构出具的财务审计报告</w:t>
      </w:r>
      <w:r>
        <w:rPr>
          <w:rFonts w:hint="eastAsia" w:ascii="宋体" w:hAnsi="宋体" w:eastAsia="宋体" w:cs="宋体"/>
          <w:sz w:val="21"/>
          <w:szCs w:val="21"/>
          <w:lang w:eastAsia="zh-CN"/>
        </w:rPr>
        <w:t>或</w:t>
      </w:r>
      <w:r>
        <w:rPr>
          <w:rFonts w:hint="eastAsia" w:ascii="宋体" w:hAnsi="宋体" w:eastAsia="宋体" w:cs="宋体"/>
          <w:sz w:val="21"/>
          <w:szCs w:val="21"/>
        </w:rPr>
        <w:t>需提供基本开户银行出具的有效资信证明；</w:t>
      </w:r>
    </w:p>
    <w:p w14:paraId="799A4E23">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（3）具有履行合同所必需的设备和专业技术能力，提供声明函。</w:t>
      </w:r>
    </w:p>
    <w:p w14:paraId="6820432F">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kern w:val="44"/>
          <w:sz w:val="21"/>
          <w:szCs w:val="21"/>
        </w:rPr>
        <w:t>（4）</w:t>
      </w:r>
      <w:r>
        <w:rPr>
          <w:rFonts w:hint="eastAsia" w:ascii="宋体" w:hAnsi="宋体" w:eastAsia="宋体" w:cs="宋体"/>
          <w:sz w:val="21"/>
          <w:szCs w:val="21"/>
        </w:rPr>
        <w:t>有依法缴纳税收和社会保障资金的良好记录</w:t>
      </w:r>
    </w:p>
    <w:p w14:paraId="2569E0FD">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提供202</w:t>
      </w:r>
      <w:r>
        <w:rPr>
          <w:rFonts w:hint="eastAsia" w:ascii="宋体" w:hAnsi="宋体" w:eastAsia="宋体" w:cs="宋体"/>
          <w:sz w:val="21"/>
          <w:szCs w:val="21"/>
          <w:lang w:val="en-US" w:eastAsia="zh-CN"/>
        </w:rPr>
        <w:t>5</w:t>
      </w:r>
      <w:r>
        <w:rPr>
          <w:rFonts w:hint="eastAsia" w:ascii="宋体" w:hAnsi="宋体" w:eastAsia="宋体" w:cs="宋体"/>
          <w:sz w:val="21"/>
          <w:szCs w:val="21"/>
        </w:rPr>
        <w:t>年1月1日以来至少一个月的依法缴纳税收和社会保障资金的相关证明复印件或扫描件。依法免税或不需要缴纳社会保障资金的供应商，应提供其依法免税或免缴纳社会保障资金的证明文件。</w:t>
      </w:r>
    </w:p>
    <w:p w14:paraId="3C6F7A0E">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（5）参加政府采购活动前三年内，在经营活动中没有重大违法记录，提供声明函。</w:t>
      </w:r>
    </w:p>
    <w:p w14:paraId="46352B73">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6）根据《关于在政府采购活动中查询及使用信用记录有关问题的通知》(财库[2016]125号)的规定，对列入失信被执行人、重大税收违法失信主体、政府采购严重违法失信行为记录名单的供应商，拒绝参与本项目政府采购活动；</w:t>
      </w:r>
    </w:p>
    <w:p w14:paraId="6CD15598">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采购人或采购代理机构将在开标当日开标之后通过以下渠道对各供应商信用记录进行查询,信用信息查询记录及相关证据与其他采购文件一并保存：失信被执行人查询渠道：“中国执行信息公开网”网站；重大税收违法失信主体查询渠道：“信用中国”网站；政府采购严重违法失信行为查询渠道：“中国政府采购网”。</w:t>
      </w:r>
    </w:p>
    <w:p w14:paraId="2CCFD3F8">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建议各供应商将查询结果附入投标文件内，未附入的不作无效投标。</w:t>
      </w:r>
    </w:p>
    <w:p w14:paraId="0CD84A74">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（7）供应商须具有主管部门颁发的有效的《劳务派遣经营许可证》、《人力资源服务许可证》</w:t>
      </w:r>
    </w:p>
    <w:p w14:paraId="371EEF33">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（8）单位负责人为同一人或者存在直接控股关系、管理关系的不同供应商，不得参加同一合同项下的政府采购活动；提供声明函。</w:t>
      </w:r>
    </w:p>
    <w:p w14:paraId="4AD2596B">
      <w:pPr>
        <w:pStyle w:val="50"/>
        <w:tabs>
          <w:tab w:val="left" w:pos="945"/>
          <w:tab w:val="left" w:pos="1155"/>
        </w:tabs>
        <w:snapToGrid w:val="0"/>
        <w:spacing w:after="0" w:line="360" w:lineRule="auto"/>
        <w:ind w:left="0" w:leftChars="0"/>
        <w:rPr>
          <w:rFonts w:ascii="宋体" w:hAnsi="宋体" w:eastAsia="宋体" w:cs="宋体"/>
          <w:sz w:val="21"/>
          <w:szCs w:val="21"/>
        </w:rPr>
      </w:pPr>
      <w:r>
        <w:rPr>
          <w:rFonts w:hint="eastAsia" w:ascii="宋体" w:hAnsi="宋体" w:eastAsia="宋体" w:cs="宋体"/>
          <w:sz w:val="21"/>
          <w:szCs w:val="21"/>
        </w:rPr>
        <w:t>（9）供应商认为需要提交的其他资料</w:t>
      </w:r>
    </w:p>
    <w:p w14:paraId="057B2F9D">
      <w:pPr>
        <w:rPr>
          <w:sz w:val="28"/>
          <w:szCs w:val="18"/>
        </w:rPr>
      </w:pPr>
      <w:bookmarkStart w:id="211" w:name="_Toc18485"/>
      <w:bookmarkStart w:id="212" w:name="_Toc9638"/>
      <w:bookmarkStart w:id="213" w:name="_Toc31155"/>
      <w:bookmarkStart w:id="214" w:name="_Toc394334464"/>
      <w:bookmarkStart w:id="215" w:name="_Toc32835902"/>
      <w:bookmarkStart w:id="216" w:name="_Toc394334708"/>
      <w:bookmarkStart w:id="217" w:name="_Toc411427419"/>
      <w:bookmarkStart w:id="218" w:name="_Toc428782251"/>
    </w:p>
    <w:p w14:paraId="4C520AFE">
      <w:pPr>
        <w:rPr>
          <w:sz w:val="28"/>
          <w:szCs w:val="18"/>
        </w:rPr>
      </w:pPr>
      <w:r>
        <w:rPr>
          <w:rFonts w:hint="eastAsia"/>
          <w:sz w:val="28"/>
          <w:szCs w:val="18"/>
        </w:rPr>
        <w:br w:type="page"/>
      </w:r>
    </w:p>
    <w:p w14:paraId="6CD94834">
      <w:pPr>
        <w:pStyle w:val="3"/>
        <w:numPr>
          <w:ilvl w:val="1"/>
          <w:numId w:val="0"/>
        </w:numPr>
        <w:tabs>
          <w:tab w:val="clear" w:pos="3398"/>
        </w:tabs>
        <w:ind w:left="2978"/>
        <w:jc w:val="both"/>
        <w:rPr>
          <w:sz w:val="28"/>
          <w:szCs w:val="18"/>
        </w:rPr>
      </w:pPr>
      <w:bookmarkStart w:id="219" w:name="_Toc29309"/>
      <w:bookmarkStart w:id="220" w:name="_Toc5193"/>
      <w:r>
        <w:rPr>
          <w:rFonts w:hint="eastAsia"/>
          <w:sz w:val="28"/>
          <w:szCs w:val="18"/>
        </w:rPr>
        <w:t>四、反商业贿赂承诺书</w:t>
      </w:r>
      <w:bookmarkEnd w:id="211"/>
      <w:bookmarkEnd w:id="212"/>
      <w:bookmarkEnd w:id="219"/>
      <w:bookmarkEnd w:id="220"/>
    </w:p>
    <w:p w14:paraId="0468A2A6"/>
    <w:p w14:paraId="7F494AD2">
      <w:pPr>
        <w:widowControl/>
        <w:spacing w:line="360" w:lineRule="auto"/>
        <w:jc w:val="left"/>
        <w:rPr>
          <w:szCs w:val="21"/>
        </w:rPr>
      </w:pPr>
      <w:r>
        <w:rPr>
          <w:rFonts w:hint="eastAsia" w:ascii="宋体" w:hAnsi="宋体" w:cs="宋体"/>
          <w:kern w:val="0"/>
          <w:szCs w:val="21"/>
        </w:rPr>
        <w:t xml:space="preserve">我单位承诺： </w:t>
      </w:r>
    </w:p>
    <w:p w14:paraId="659701CD">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我单位自愿参加</w:t>
      </w:r>
      <w:r>
        <w:rPr>
          <w:rFonts w:hint="eastAsia" w:ascii="宋体" w:hAnsi="宋体" w:cs="宋体"/>
          <w:kern w:val="0"/>
          <w:szCs w:val="21"/>
          <w:u w:val="single"/>
        </w:rPr>
        <w:t xml:space="preserve"> 河南省中医院（河南中医药大学第二附属医院）劳务派遣服务采购项目 </w:t>
      </w:r>
      <w:r>
        <w:rPr>
          <w:rFonts w:hint="eastAsia" w:ascii="宋体" w:hAnsi="宋体" w:cs="宋体"/>
          <w:kern w:val="0"/>
          <w:szCs w:val="21"/>
        </w:rPr>
        <w:t xml:space="preserve">的采购活动,作为参加本次采购活动的供应商，现郑重承诺如下： </w:t>
      </w:r>
    </w:p>
    <w:p w14:paraId="290A9A0B">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（一） 公平竞争参加本次采购活动。 </w:t>
      </w:r>
    </w:p>
    <w:p w14:paraId="68E0A039">
      <w:pPr>
        <w:widowControl/>
        <w:spacing w:line="360" w:lineRule="auto"/>
        <w:ind w:firstLine="420" w:firstLineChars="200"/>
        <w:jc w:val="left"/>
        <w:rPr>
          <w:szCs w:val="21"/>
        </w:rPr>
      </w:pPr>
      <w:r>
        <w:rPr>
          <w:rFonts w:hint="eastAsia" w:ascii="宋体" w:hAnsi="宋体" w:cs="宋体"/>
          <w:kern w:val="0"/>
          <w:szCs w:val="21"/>
        </w:rPr>
        <w:t>（二）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F10E91C">
      <w:pPr>
        <w:widowControl/>
        <w:spacing w:line="360" w:lineRule="auto"/>
        <w:ind w:firstLine="420" w:firstLineChars="200"/>
        <w:jc w:val="left"/>
        <w:rPr>
          <w:szCs w:val="21"/>
        </w:rPr>
      </w:pPr>
      <w:r>
        <w:rPr>
          <w:rFonts w:hint="eastAsia" w:ascii="宋体" w:hAnsi="宋体" w:cs="宋体"/>
          <w:kern w:val="0"/>
          <w:szCs w:val="21"/>
        </w:rPr>
        <w:t xml:space="preserve">（三） 若出现上述行为，我单位及参与投标的工作人员愿意接受按照国家法律法规等有关规定给予的处罚。 </w:t>
      </w:r>
    </w:p>
    <w:p w14:paraId="31DF890B">
      <w:pPr>
        <w:widowControl/>
        <w:spacing w:line="360" w:lineRule="auto"/>
        <w:ind w:firstLine="210" w:firstLineChars="100"/>
        <w:jc w:val="left"/>
        <w:rPr>
          <w:rFonts w:ascii="宋体" w:hAnsi="宋体" w:cs="宋体"/>
          <w:kern w:val="0"/>
          <w:szCs w:val="21"/>
        </w:rPr>
      </w:pPr>
    </w:p>
    <w:p w14:paraId="581E9901">
      <w:pPr>
        <w:widowControl/>
        <w:spacing w:line="360" w:lineRule="auto"/>
        <w:ind w:firstLine="210" w:firstLineChars="100"/>
        <w:jc w:val="left"/>
        <w:rPr>
          <w:rFonts w:ascii="宋体" w:hAnsi="宋体" w:cs="宋体"/>
          <w:kern w:val="0"/>
          <w:szCs w:val="21"/>
        </w:rPr>
      </w:pPr>
    </w:p>
    <w:p w14:paraId="485CD6E4">
      <w:pPr>
        <w:spacing w:line="52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7F8126AF">
      <w:pPr>
        <w:spacing w:line="52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3B87A141">
      <w:pPr>
        <w:spacing w:line="52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827190A">
      <w:pPr>
        <w:widowControl/>
        <w:spacing w:line="360" w:lineRule="auto"/>
        <w:jc w:val="left"/>
        <w:rPr>
          <w:rFonts w:ascii="宋体" w:hAnsi="宋体" w:cs="宋体"/>
          <w:color w:val="000000"/>
          <w:kern w:val="0"/>
          <w:szCs w:val="21"/>
        </w:rPr>
      </w:pPr>
    </w:p>
    <w:p w14:paraId="73105986">
      <w:pPr>
        <w:rPr>
          <w:b/>
          <w:sz w:val="28"/>
          <w:szCs w:val="18"/>
        </w:rPr>
      </w:pPr>
      <w:bookmarkStart w:id="221" w:name="_Toc26556"/>
      <w:bookmarkStart w:id="222" w:name="_Toc29574"/>
      <w:r>
        <w:rPr>
          <w:rFonts w:hint="eastAsia"/>
          <w:b/>
          <w:sz w:val="28"/>
          <w:szCs w:val="18"/>
        </w:rPr>
        <w:br w:type="page"/>
      </w:r>
    </w:p>
    <w:p w14:paraId="558392CC">
      <w:pPr>
        <w:pStyle w:val="3"/>
        <w:numPr>
          <w:ilvl w:val="1"/>
          <w:numId w:val="0"/>
        </w:numPr>
        <w:tabs>
          <w:tab w:val="clear" w:pos="3398"/>
        </w:tabs>
        <w:ind w:left="2978"/>
        <w:jc w:val="both"/>
        <w:rPr>
          <w:sz w:val="28"/>
          <w:szCs w:val="18"/>
        </w:rPr>
      </w:pPr>
      <w:bookmarkStart w:id="223" w:name="_Toc19842"/>
      <w:bookmarkStart w:id="224" w:name="_Toc2642"/>
      <w:r>
        <w:rPr>
          <w:rFonts w:hint="eastAsia"/>
          <w:sz w:val="28"/>
          <w:szCs w:val="18"/>
        </w:rPr>
        <w:t>五、采购服务需求响应表</w:t>
      </w:r>
      <w:bookmarkEnd w:id="223"/>
      <w:bookmarkEnd w:id="224"/>
      <w:r>
        <w:rPr>
          <w:rFonts w:hint="eastAsia"/>
          <w:sz w:val="28"/>
          <w:szCs w:val="18"/>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114"/>
        <w:gridCol w:w="1524"/>
        <w:gridCol w:w="1524"/>
        <w:gridCol w:w="1524"/>
        <w:gridCol w:w="1524"/>
      </w:tblGrid>
      <w:tr w14:paraId="4178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8" w:type="dxa"/>
            <w:vAlign w:val="center"/>
          </w:tcPr>
          <w:p w14:paraId="6AEB349F">
            <w:pPr>
              <w:jc w:val="center"/>
              <w:rPr>
                <w:szCs w:val="21"/>
              </w:rPr>
            </w:pPr>
            <w:r>
              <w:rPr>
                <w:rFonts w:hint="eastAsia"/>
                <w:szCs w:val="21"/>
              </w:rPr>
              <w:t>序号</w:t>
            </w:r>
          </w:p>
        </w:tc>
        <w:tc>
          <w:tcPr>
            <w:tcW w:w="2114" w:type="dxa"/>
            <w:vAlign w:val="center"/>
          </w:tcPr>
          <w:p w14:paraId="391139D4">
            <w:pPr>
              <w:jc w:val="center"/>
              <w:rPr>
                <w:szCs w:val="21"/>
              </w:rPr>
            </w:pPr>
            <w:r>
              <w:rPr>
                <w:rFonts w:hint="eastAsia"/>
                <w:szCs w:val="21"/>
              </w:rPr>
              <w:t>项目任务书条目</w:t>
            </w:r>
          </w:p>
        </w:tc>
        <w:tc>
          <w:tcPr>
            <w:tcW w:w="1524" w:type="dxa"/>
            <w:vAlign w:val="center"/>
          </w:tcPr>
          <w:p w14:paraId="661710A8">
            <w:pPr>
              <w:jc w:val="center"/>
              <w:rPr>
                <w:szCs w:val="21"/>
              </w:rPr>
            </w:pPr>
            <w:r>
              <w:rPr>
                <w:rFonts w:hint="eastAsia"/>
                <w:szCs w:val="21"/>
              </w:rPr>
              <w:t>招标文件要求</w:t>
            </w:r>
          </w:p>
        </w:tc>
        <w:tc>
          <w:tcPr>
            <w:tcW w:w="1524" w:type="dxa"/>
            <w:vAlign w:val="center"/>
          </w:tcPr>
          <w:p w14:paraId="0E02FE9E">
            <w:pPr>
              <w:jc w:val="center"/>
              <w:rPr>
                <w:szCs w:val="21"/>
              </w:rPr>
            </w:pPr>
            <w:r>
              <w:rPr>
                <w:rFonts w:hint="eastAsia"/>
                <w:szCs w:val="21"/>
              </w:rPr>
              <w:t>投标文件响应内容</w:t>
            </w:r>
          </w:p>
        </w:tc>
        <w:tc>
          <w:tcPr>
            <w:tcW w:w="1524" w:type="dxa"/>
            <w:vAlign w:val="center"/>
          </w:tcPr>
          <w:p w14:paraId="21DEB605">
            <w:pPr>
              <w:jc w:val="center"/>
              <w:rPr>
                <w:szCs w:val="21"/>
              </w:rPr>
            </w:pPr>
            <w:r>
              <w:rPr>
                <w:rFonts w:hint="eastAsia"/>
                <w:szCs w:val="21"/>
              </w:rPr>
              <w:t>是否偏离</w:t>
            </w:r>
          </w:p>
        </w:tc>
        <w:tc>
          <w:tcPr>
            <w:tcW w:w="1524" w:type="dxa"/>
            <w:vAlign w:val="center"/>
          </w:tcPr>
          <w:p w14:paraId="0BE02692">
            <w:pPr>
              <w:jc w:val="center"/>
              <w:rPr>
                <w:szCs w:val="21"/>
              </w:rPr>
            </w:pPr>
            <w:r>
              <w:rPr>
                <w:rFonts w:hint="eastAsia"/>
                <w:szCs w:val="21"/>
              </w:rPr>
              <w:t>备注</w:t>
            </w:r>
          </w:p>
        </w:tc>
      </w:tr>
      <w:tr w14:paraId="4147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8" w:type="dxa"/>
            <w:vAlign w:val="center"/>
          </w:tcPr>
          <w:p w14:paraId="6253FAC3">
            <w:pPr>
              <w:jc w:val="center"/>
              <w:rPr>
                <w:szCs w:val="21"/>
              </w:rPr>
            </w:pPr>
            <w:r>
              <w:rPr>
                <w:rFonts w:hint="eastAsia"/>
                <w:szCs w:val="21"/>
              </w:rPr>
              <w:t>1</w:t>
            </w:r>
          </w:p>
        </w:tc>
        <w:tc>
          <w:tcPr>
            <w:tcW w:w="2114" w:type="dxa"/>
            <w:shd w:val="clear" w:color="auto" w:fill="auto"/>
            <w:vAlign w:val="center"/>
          </w:tcPr>
          <w:p w14:paraId="13D93D87">
            <w:pPr>
              <w:spacing w:line="460" w:lineRule="exact"/>
              <w:rPr>
                <w:szCs w:val="21"/>
              </w:rPr>
            </w:pPr>
            <w:r>
              <w:rPr>
                <w:rFonts w:hint="eastAsia" w:ascii="宋体" w:hAnsi="宋体" w:cs="宋体"/>
                <w:b/>
                <w:bCs/>
              </w:rPr>
              <w:t>一、项目概况</w:t>
            </w:r>
          </w:p>
        </w:tc>
        <w:tc>
          <w:tcPr>
            <w:tcW w:w="1524" w:type="dxa"/>
            <w:vAlign w:val="center"/>
          </w:tcPr>
          <w:p w14:paraId="3A4B0C71">
            <w:pPr>
              <w:jc w:val="center"/>
              <w:rPr>
                <w:szCs w:val="21"/>
              </w:rPr>
            </w:pPr>
          </w:p>
        </w:tc>
        <w:tc>
          <w:tcPr>
            <w:tcW w:w="1524" w:type="dxa"/>
            <w:vAlign w:val="center"/>
          </w:tcPr>
          <w:p w14:paraId="67180C1F">
            <w:pPr>
              <w:jc w:val="center"/>
              <w:rPr>
                <w:szCs w:val="21"/>
              </w:rPr>
            </w:pPr>
          </w:p>
        </w:tc>
        <w:tc>
          <w:tcPr>
            <w:tcW w:w="1524" w:type="dxa"/>
            <w:vAlign w:val="center"/>
          </w:tcPr>
          <w:p w14:paraId="29779032">
            <w:pPr>
              <w:jc w:val="center"/>
              <w:rPr>
                <w:szCs w:val="21"/>
              </w:rPr>
            </w:pPr>
          </w:p>
        </w:tc>
        <w:tc>
          <w:tcPr>
            <w:tcW w:w="1524" w:type="dxa"/>
            <w:vAlign w:val="center"/>
          </w:tcPr>
          <w:p w14:paraId="081C9430">
            <w:pPr>
              <w:jc w:val="center"/>
              <w:rPr>
                <w:szCs w:val="21"/>
              </w:rPr>
            </w:pPr>
          </w:p>
        </w:tc>
      </w:tr>
      <w:tr w14:paraId="0F88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8" w:type="dxa"/>
            <w:vAlign w:val="center"/>
          </w:tcPr>
          <w:p w14:paraId="6B429E31">
            <w:pPr>
              <w:jc w:val="center"/>
              <w:rPr>
                <w:szCs w:val="21"/>
              </w:rPr>
            </w:pPr>
            <w:r>
              <w:rPr>
                <w:rFonts w:hint="eastAsia"/>
                <w:szCs w:val="21"/>
              </w:rPr>
              <w:t>2</w:t>
            </w:r>
          </w:p>
        </w:tc>
        <w:tc>
          <w:tcPr>
            <w:tcW w:w="2114" w:type="dxa"/>
            <w:shd w:val="clear" w:color="auto" w:fill="auto"/>
            <w:vAlign w:val="center"/>
          </w:tcPr>
          <w:p w14:paraId="0DCFB97E">
            <w:pPr>
              <w:spacing w:line="460" w:lineRule="exact"/>
              <w:rPr>
                <w:szCs w:val="21"/>
              </w:rPr>
            </w:pPr>
            <w:r>
              <w:rPr>
                <w:rFonts w:hint="eastAsia" w:ascii="宋体" w:hAnsi="宋体" w:cs="宋体"/>
                <w:b/>
                <w:bCs/>
              </w:rPr>
              <w:t>二、服务内容</w:t>
            </w:r>
          </w:p>
        </w:tc>
        <w:tc>
          <w:tcPr>
            <w:tcW w:w="1524" w:type="dxa"/>
            <w:vAlign w:val="center"/>
          </w:tcPr>
          <w:p w14:paraId="6D03228C">
            <w:pPr>
              <w:jc w:val="center"/>
              <w:rPr>
                <w:szCs w:val="21"/>
              </w:rPr>
            </w:pPr>
          </w:p>
        </w:tc>
        <w:tc>
          <w:tcPr>
            <w:tcW w:w="1524" w:type="dxa"/>
          </w:tcPr>
          <w:p w14:paraId="24AC491A">
            <w:pPr>
              <w:jc w:val="center"/>
              <w:rPr>
                <w:szCs w:val="21"/>
              </w:rPr>
            </w:pPr>
          </w:p>
        </w:tc>
        <w:tc>
          <w:tcPr>
            <w:tcW w:w="1524" w:type="dxa"/>
          </w:tcPr>
          <w:p w14:paraId="058E777E">
            <w:pPr>
              <w:rPr>
                <w:szCs w:val="21"/>
              </w:rPr>
            </w:pPr>
          </w:p>
        </w:tc>
        <w:tc>
          <w:tcPr>
            <w:tcW w:w="1524" w:type="dxa"/>
          </w:tcPr>
          <w:p w14:paraId="76117730">
            <w:pPr>
              <w:rPr>
                <w:szCs w:val="21"/>
              </w:rPr>
            </w:pPr>
          </w:p>
        </w:tc>
      </w:tr>
      <w:tr w14:paraId="5621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8" w:type="dxa"/>
            <w:vAlign w:val="center"/>
          </w:tcPr>
          <w:p w14:paraId="61FA808F">
            <w:pPr>
              <w:jc w:val="center"/>
              <w:rPr>
                <w:szCs w:val="21"/>
              </w:rPr>
            </w:pPr>
            <w:r>
              <w:rPr>
                <w:rFonts w:hint="eastAsia"/>
                <w:szCs w:val="21"/>
              </w:rPr>
              <w:t>3</w:t>
            </w:r>
          </w:p>
        </w:tc>
        <w:tc>
          <w:tcPr>
            <w:tcW w:w="2114" w:type="dxa"/>
            <w:shd w:val="clear" w:color="auto" w:fill="auto"/>
            <w:vAlign w:val="center"/>
          </w:tcPr>
          <w:p w14:paraId="564666E1">
            <w:pPr>
              <w:spacing w:line="460" w:lineRule="exact"/>
              <w:rPr>
                <w:rFonts w:hint="eastAsia" w:eastAsia="宋体"/>
                <w:szCs w:val="21"/>
                <w:lang w:eastAsia="zh-CN"/>
              </w:rPr>
            </w:pPr>
            <w:r>
              <w:rPr>
                <w:rFonts w:hint="eastAsia" w:ascii="宋体" w:hAnsi="宋体" w:cs="宋体"/>
                <w:b/>
                <w:bCs/>
              </w:rPr>
              <w:t>三</w:t>
            </w:r>
            <w:r>
              <w:rPr>
                <w:rFonts w:ascii="宋体" w:hAnsi="宋体" w:cs="宋体"/>
                <w:b/>
                <w:bCs/>
              </w:rPr>
              <w:t>、</w:t>
            </w:r>
            <w:r>
              <w:rPr>
                <w:rFonts w:hint="eastAsia" w:ascii="宋体" w:hAnsi="宋体" w:cs="宋体"/>
                <w:b/>
                <w:bCs/>
                <w:lang w:eastAsia="zh-CN"/>
              </w:rPr>
              <w:t>服务要求</w:t>
            </w:r>
          </w:p>
        </w:tc>
        <w:tc>
          <w:tcPr>
            <w:tcW w:w="1524" w:type="dxa"/>
            <w:vAlign w:val="center"/>
          </w:tcPr>
          <w:p w14:paraId="6B88A093">
            <w:pPr>
              <w:jc w:val="center"/>
              <w:rPr>
                <w:szCs w:val="21"/>
              </w:rPr>
            </w:pPr>
          </w:p>
        </w:tc>
        <w:tc>
          <w:tcPr>
            <w:tcW w:w="1524" w:type="dxa"/>
          </w:tcPr>
          <w:p w14:paraId="2AC04AD1">
            <w:pPr>
              <w:jc w:val="center"/>
              <w:rPr>
                <w:szCs w:val="21"/>
              </w:rPr>
            </w:pPr>
          </w:p>
        </w:tc>
        <w:tc>
          <w:tcPr>
            <w:tcW w:w="1524" w:type="dxa"/>
          </w:tcPr>
          <w:p w14:paraId="1443DF61">
            <w:pPr>
              <w:rPr>
                <w:szCs w:val="21"/>
              </w:rPr>
            </w:pPr>
          </w:p>
        </w:tc>
        <w:tc>
          <w:tcPr>
            <w:tcW w:w="1524" w:type="dxa"/>
          </w:tcPr>
          <w:p w14:paraId="13DFC8B5">
            <w:pPr>
              <w:rPr>
                <w:szCs w:val="21"/>
              </w:rPr>
            </w:pPr>
          </w:p>
        </w:tc>
      </w:tr>
      <w:tr w14:paraId="47B8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8" w:type="dxa"/>
            <w:vAlign w:val="center"/>
          </w:tcPr>
          <w:p w14:paraId="55827FF9">
            <w:pPr>
              <w:jc w:val="center"/>
              <w:rPr>
                <w:szCs w:val="21"/>
              </w:rPr>
            </w:pPr>
            <w:r>
              <w:rPr>
                <w:rFonts w:hint="eastAsia"/>
                <w:szCs w:val="21"/>
              </w:rPr>
              <w:t>4</w:t>
            </w:r>
          </w:p>
        </w:tc>
        <w:tc>
          <w:tcPr>
            <w:tcW w:w="2114" w:type="dxa"/>
            <w:vAlign w:val="center"/>
          </w:tcPr>
          <w:p w14:paraId="6D75BEE2">
            <w:pPr>
              <w:spacing w:line="460" w:lineRule="exact"/>
              <w:rPr>
                <w:rFonts w:hint="eastAsia" w:eastAsia="宋体"/>
                <w:szCs w:val="21"/>
                <w:lang w:eastAsia="zh-CN"/>
              </w:rPr>
            </w:pPr>
            <w:r>
              <w:rPr>
                <w:rFonts w:hint="eastAsia" w:ascii="宋体" w:hAnsi="宋体" w:cs="宋体"/>
                <w:b/>
                <w:bCs/>
              </w:rPr>
              <w:t>四</w:t>
            </w:r>
            <w:r>
              <w:rPr>
                <w:rFonts w:ascii="宋体" w:hAnsi="宋体" w:cs="宋体"/>
                <w:b/>
                <w:bCs/>
              </w:rPr>
              <w:t>、</w:t>
            </w:r>
            <w:r>
              <w:rPr>
                <w:rFonts w:hint="eastAsia" w:ascii="宋体" w:hAnsi="宋体" w:eastAsia="宋体" w:cs="宋体"/>
                <w:b/>
                <w:bCs/>
                <w:sz w:val="21"/>
                <w:szCs w:val="21"/>
                <w:highlight w:val="none"/>
                <w:lang w:val="en-US" w:eastAsia="zh-CN"/>
              </w:rPr>
              <w:t>技术标准与要求</w:t>
            </w:r>
          </w:p>
        </w:tc>
        <w:tc>
          <w:tcPr>
            <w:tcW w:w="1524" w:type="dxa"/>
            <w:vAlign w:val="center"/>
          </w:tcPr>
          <w:p w14:paraId="6885EFF8">
            <w:pPr>
              <w:jc w:val="center"/>
              <w:rPr>
                <w:szCs w:val="21"/>
              </w:rPr>
            </w:pPr>
          </w:p>
        </w:tc>
        <w:tc>
          <w:tcPr>
            <w:tcW w:w="1524" w:type="dxa"/>
          </w:tcPr>
          <w:p w14:paraId="4FF8104A">
            <w:pPr>
              <w:jc w:val="center"/>
              <w:rPr>
                <w:szCs w:val="21"/>
              </w:rPr>
            </w:pPr>
          </w:p>
        </w:tc>
        <w:tc>
          <w:tcPr>
            <w:tcW w:w="1524" w:type="dxa"/>
          </w:tcPr>
          <w:p w14:paraId="1277B9BB">
            <w:pPr>
              <w:rPr>
                <w:szCs w:val="21"/>
              </w:rPr>
            </w:pPr>
          </w:p>
        </w:tc>
        <w:tc>
          <w:tcPr>
            <w:tcW w:w="1524" w:type="dxa"/>
          </w:tcPr>
          <w:p w14:paraId="7F7A6B88">
            <w:pPr>
              <w:rPr>
                <w:szCs w:val="21"/>
              </w:rPr>
            </w:pPr>
          </w:p>
        </w:tc>
      </w:tr>
      <w:tr w14:paraId="6D95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8" w:type="dxa"/>
            <w:vAlign w:val="center"/>
          </w:tcPr>
          <w:p w14:paraId="332AA9EB">
            <w:pPr>
              <w:jc w:val="center"/>
              <w:rPr>
                <w:szCs w:val="21"/>
              </w:rPr>
            </w:pPr>
            <w:r>
              <w:rPr>
                <w:rFonts w:hint="eastAsia"/>
                <w:szCs w:val="21"/>
              </w:rPr>
              <w:t>5</w:t>
            </w:r>
          </w:p>
        </w:tc>
        <w:tc>
          <w:tcPr>
            <w:tcW w:w="2114" w:type="dxa"/>
            <w:vAlign w:val="center"/>
          </w:tcPr>
          <w:p w14:paraId="443145CD">
            <w:pPr>
              <w:jc w:val="both"/>
              <w:rPr>
                <w:szCs w:val="21"/>
              </w:rPr>
            </w:pPr>
            <w:r>
              <w:rPr>
                <w:rFonts w:hint="eastAsia" w:ascii="宋体" w:hAnsi="宋体" w:cs="宋体"/>
                <w:b/>
                <w:bCs/>
              </w:rPr>
              <w:t>五</w:t>
            </w:r>
            <w:r>
              <w:rPr>
                <w:rFonts w:ascii="宋体" w:hAnsi="宋体" w:cs="宋体"/>
                <w:b/>
                <w:bCs/>
              </w:rPr>
              <w:t>、</w:t>
            </w:r>
            <w:r>
              <w:rPr>
                <w:rFonts w:hint="eastAsia" w:ascii="宋体" w:hAnsi="宋体" w:eastAsia="宋体" w:cs="宋体"/>
                <w:b/>
                <w:bCs/>
                <w:sz w:val="21"/>
                <w:szCs w:val="21"/>
                <w:highlight w:val="none"/>
                <w:lang w:val="en-US" w:eastAsia="zh-CN"/>
              </w:rPr>
              <w:t>服务期限及费用支付方式</w:t>
            </w:r>
          </w:p>
        </w:tc>
        <w:tc>
          <w:tcPr>
            <w:tcW w:w="1524" w:type="dxa"/>
            <w:vAlign w:val="center"/>
          </w:tcPr>
          <w:p w14:paraId="386191C2">
            <w:pPr>
              <w:jc w:val="center"/>
              <w:rPr>
                <w:szCs w:val="21"/>
              </w:rPr>
            </w:pPr>
          </w:p>
        </w:tc>
        <w:tc>
          <w:tcPr>
            <w:tcW w:w="1524" w:type="dxa"/>
          </w:tcPr>
          <w:p w14:paraId="3547AFD5">
            <w:pPr>
              <w:jc w:val="center"/>
              <w:rPr>
                <w:szCs w:val="21"/>
              </w:rPr>
            </w:pPr>
          </w:p>
        </w:tc>
        <w:tc>
          <w:tcPr>
            <w:tcW w:w="1524" w:type="dxa"/>
          </w:tcPr>
          <w:p w14:paraId="052D354B">
            <w:pPr>
              <w:rPr>
                <w:szCs w:val="21"/>
              </w:rPr>
            </w:pPr>
          </w:p>
        </w:tc>
        <w:tc>
          <w:tcPr>
            <w:tcW w:w="1524" w:type="dxa"/>
          </w:tcPr>
          <w:p w14:paraId="03130F27">
            <w:pPr>
              <w:rPr>
                <w:szCs w:val="21"/>
              </w:rPr>
            </w:pPr>
          </w:p>
        </w:tc>
      </w:tr>
      <w:tr w14:paraId="3263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58" w:type="dxa"/>
            <w:vAlign w:val="center"/>
          </w:tcPr>
          <w:p w14:paraId="708E22D8">
            <w:pPr>
              <w:jc w:val="center"/>
              <w:rPr>
                <w:szCs w:val="21"/>
              </w:rPr>
            </w:pPr>
            <w:r>
              <w:rPr>
                <w:rFonts w:hint="eastAsia"/>
                <w:szCs w:val="21"/>
              </w:rPr>
              <w:t>6</w:t>
            </w:r>
          </w:p>
        </w:tc>
        <w:tc>
          <w:tcPr>
            <w:tcW w:w="2114" w:type="dxa"/>
            <w:vAlign w:val="center"/>
          </w:tcPr>
          <w:p w14:paraId="3ED17A2B">
            <w:pPr>
              <w:spacing w:line="460" w:lineRule="exact"/>
              <w:rPr>
                <w:rFonts w:hint="eastAsia" w:eastAsia="宋体"/>
                <w:szCs w:val="21"/>
                <w:lang w:eastAsia="zh-CN"/>
              </w:rPr>
            </w:pPr>
            <w:r>
              <w:rPr>
                <w:rFonts w:hint="eastAsia" w:ascii="宋体" w:hAnsi="宋体" w:cs="宋体"/>
                <w:b/>
                <w:bCs/>
              </w:rPr>
              <w:t>六</w:t>
            </w:r>
            <w:r>
              <w:rPr>
                <w:rFonts w:ascii="宋体" w:hAnsi="宋体" w:cs="宋体"/>
                <w:b/>
                <w:bCs/>
              </w:rPr>
              <w:t>、</w:t>
            </w:r>
            <w:r>
              <w:rPr>
                <w:rFonts w:hint="eastAsia" w:ascii="宋体" w:hAnsi="宋体" w:eastAsia="宋体" w:cs="宋体"/>
                <w:b/>
                <w:bCs/>
                <w:sz w:val="21"/>
                <w:szCs w:val="21"/>
                <w:highlight w:val="none"/>
                <w:lang w:val="en-US" w:eastAsia="zh-CN"/>
              </w:rPr>
              <w:t>违约责任</w:t>
            </w:r>
          </w:p>
        </w:tc>
        <w:tc>
          <w:tcPr>
            <w:tcW w:w="1524" w:type="dxa"/>
            <w:vAlign w:val="center"/>
          </w:tcPr>
          <w:p w14:paraId="3AD75908">
            <w:pPr>
              <w:jc w:val="center"/>
              <w:rPr>
                <w:szCs w:val="21"/>
              </w:rPr>
            </w:pPr>
          </w:p>
        </w:tc>
        <w:tc>
          <w:tcPr>
            <w:tcW w:w="1524" w:type="dxa"/>
          </w:tcPr>
          <w:p w14:paraId="1C703E14">
            <w:pPr>
              <w:jc w:val="center"/>
              <w:rPr>
                <w:szCs w:val="21"/>
              </w:rPr>
            </w:pPr>
          </w:p>
        </w:tc>
        <w:tc>
          <w:tcPr>
            <w:tcW w:w="1524" w:type="dxa"/>
          </w:tcPr>
          <w:p w14:paraId="1C8C85C2">
            <w:pPr>
              <w:rPr>
                <w:szCs w:val="21"/>
              </w:rPr>
            </w:pPr>
          </w:p>
        </w:tc>
        <w:tc>
          <w:tcPr>
            <w:tcW w:w="1524" w:type="dxa"/>
          </w:tcPr>
          <w:p w14:paraId="0DFE247E">
            <w:pPr>
              <w:rPr>
                <w:szCs w:val="21"/>
              </w:rPr>
            </w:pPr>
          </w:p>
        </w:tc>
      </w:tr>
      <w:tr w14:paraId="6928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58" w:type="dxa"/>
            <w:vAlign w:val="center"/>
          </w:tcPr>
          <w:p w14:paraId="6E9480B6">
            <w:pPr>
              <w:jc w:val="center"/>
              <w:rPr>
                <w:szCs w:val="21"/>
              </w:rPr>
            </w:pPr>
          </w:p>
        </w:tc>
        <w:tc>
          <w:tcPr>
            <w:tcW w:w="2114" w:type="dxa"/>
            <w:shd w:val="clear" w:color="auto" w:fill="auto"/>
            <w:vAlign w:val="center"/>
          </w:tcPr>
          <w:p w14:paraId="5EA6C3AD">
            <w:pPr>
              <w:jc w:val="center"/>
              <w:rPr>
                <w:szCs w:val="21"/>
              </w:rPr>
            </w:pPr>
            <w:r>
              <w:rPr>
                <w:rFonts w:hint="eastAsia"/>
                <w:szCs w:val="21"/>
              </w:rPr>
              <w:t>...</w:t>
            </w:r>
          </w:p>
        </w:tc>
        <w:tc>
          <w:tcPr>
            <w:tcW w:w="1524" w:type="dxa"/>
            <w:vAlign w:val="center"/>
          </w:tcPr>
          <w:p w14:paraId="731426EB">
            <w:pPr>
              <w:jc w:val="center"/>
              <w:rPr>
                <w:szCs w:val="21"/>
              </w:rPr>
            </w:pPr>
          </w:p>
        </w:tc>
        <w:tc>
          <w:tcPr>
            <w:tcW w:w="1524" w:type="dxa"/>
          </w:tcPr>
          <w:p w14:paraId="5EC7814C">
            <w:pPr>
              <w:jc w:val="center"/>
              <w:rPr>
                <w:szCs w:val="21"/>
              </w:rPr>
            </w:pPr>
          </w:p>
        </w:tc>
        <w:tc>
          <w:tcPr>
            <w:tcW w:w="1524" w:type="dxa"/>
          </w:tcPr>
          <w:p w14:paraId="0DF362A3">
            <w:pPr>
              <w:rPr>
                <w:szCs w:val="21"/>
              </w:rPr>
            </w:pPr>
          </w:p>
        </w:tc>
        <w:tc>
          <w:tcPr>
            <w:tcW w:w="1524" w:type="dxa"/>
          </w:tcPr>
          <w:p w14:paraId="4B7DD3D6">
            <w:pPr>
              <w:rPr>
                <w:szCs w:val="21"/>
              </w:rPr>
            </w:pPr>
          </w:p>
        </w:tc>
      </w:tr>
      <w:tr w14:paraId="261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58" w:type="dxa"/>
          </w:tcPr>
          <w:p w14:paraId="5125D105">
            <w:pPr>
              <w:jc w:val="center"/>
              <w:rPr>
                <w:szCs w:val="21"/>
              </w:rPr>
            </w:pPr>
          </w:p>
        </w:tc>
        <w:tc>
          <w:tcPr>
            <w:tcW w:w="2114" w:type="dxa"/>
            <w:shd w:val="clear" w:color="auto" w:fill="auto"/>
            <w:vAlign w:val="center"/>
          </w:tcPr>
          <w:p w14:paraId="30A289C9">
            <w:pPr>
              <w:jc w:val="center"/>
              <w:rPr>
                <w:szCs w:val="21"/>
              </w:rPr>
            </w:pPr>
            <w:r>
              <w:rPr>
                <w:rFonts w:hint="eastAsia"/>
                <w:szCs w:val="21"/>
              </w:rPr>
              <w:t>...</w:t>
            </w:r>
          </w:p>
        </w:tc>
        <w:tc>
          <w:tcPr>
            <w:tcW w:w="1524" w:type="dxa"/>
          </w:tcPr>
          <w:p w14:paraId="0F4F5C80">
            <w:pPr>
              <w:jc w:val="center"/>
              <w:rPr>
                <w:szCs w:val="21"/>
              </w:rPr>
            </w:pPr>
          </w:p>
        </w:tc>
        <w:tc>
          <w:tcPr>
            <w:tcW w:w="1524" w:type="dxa"/>
          </w:tcPr>
          <w:p w14:paraId="16FD9BF7">
            <w:pPr>
              <w:jc w:val="center"/>
              <w:rPr>
                <w:szCs w:val="21"/>
              </w:rPr>
            </w:pPr>
          </w:p>
        </w:tc>
        <w:tc>
          <w:tcPr>
            <w:tcW w:w="1524" w:type="dxa"/>
          </w:tcPr>
          <w:p w14:paraId="1B0B1DD6">
            <w:pPr>
              <w:rPr>
                <w:szCs w:val="21"/>
              </w:rPr>
            </w:pPr>
          </w:p>
        </w:tc>
        <w:tc>
          <w:tcPr>
            <w:tcW w:w="1524" w:type="dxa"/>
          </w:tcPr>
          <w:p w14:paraId="5F5FC8CA">
            <w:pPr>
              <w:rPr>
                <w:szCs w:val="21"/>
              </w:rPr>
            </w:pPr>
          </w:p>
        </w:tc>
      </w:tr>
    </w:tbl>
    <w:p w14:paraId="1ED9F628">
      <w:pPr>
        <w:spacing w:line="360" w:lineRule="auto"/>
        <w:rPr>
          <w:szCs w:val="21"/>
        </w:rPr>
      </w:pPr>
      <w:r>
        <w:rPr>
          <w:rFonts w:hint="eastAsia"/>
          <w:szCs w:val="21"/>
        </w:rPr>
        <w:t xml:space="preserve">说明： </w:t>
      </w:r>
    </w:p>
    <w:p w14:paraId="338043F0">
      <w:pPr>
        <w:numPr>
          <w:ilvl w:val="0"/>
          <w:numId w:val="5"/>
        </w:numPr>
        <w:spacing w:line="360" w:lineRule="auto"/>
        <w:rPr>
          <w:szCs w:val="21"/>
        </w:rPr>
      </w:pPr>
      <w:r>
        <w:rPr>
          <w:rFonts w:hint="eastAsia"/>
          <w:szCs w:val="21"/>
        </w:rPr>
        <w:t>供应商必须对应招标文件的《第五章 项目需求》条款逐条应答并按要求填写下表。</w:t>
      </w:r>
    </w:p>
    <w:p w14:paraId="60D772E4">
      <w:pPr>
        <w:numPr>
          <w:ilvl w:val="0"/>
          <w:numId w:val="5"/>
        </w:numPr>
        <w:spacing w:line="360" w:lineRule="auto"/>
        <w:rPr>
          <w:szCs w:val="21"/>
        </w:rPr>
      </w:pPr>
      <w:r>
        <w:rPr>
          <w:rFonts w:hint="eastAsia"/>
          <w:szCs w:val="21"/>
        </w:rPr>
        <w:t>本表格式可根据实际情况修改，不作为否决投标的条件。</w:t>
      </w:r>
    </w:p>
    <w:p w14:paraId="5641A6A4">
      <w:pPr>
        <w:spacing w:line="520" w:lineRule="exact"/>
        <w:ind w:firstLine="2730" w:firstLineChars="1300"/>
        <w:rPr>
          <w:rFonts w:ascii="宋体" w:hAnsi="宋体" w:cs="宋体"/>
          <w:szCs w:val="21"/>
        </w:rPr>
      </w:pPr>
    </w:p>
    <w:p w14:paraId="0395DA51">
      <w:pPr>
        <w:spacing w:line="520" w:lineRule="exact"/>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5C39058B">
      <w:pPr>
        <w:spacing w:line="520" w:lineRule="exact"/>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5102478B">
      <w:pPr>
        <w:spacing w:line="5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993FEB"/>
    <w:p w14:paraId="210AE2D8">
      <w:pPr>
        <w:bidi w:val="0"/>
      </w:pPr>
    </w:p>
    <w:p w14:paraId="5FB6D589">
      <w:pPr>
        <w:rPr>
          <w:rFonts w:ascii="Arial" w:hAnsi="Arial"/>
          <w:b/>
          <w:sz w:val="28"/>
          <w:szCs w:val="18"/>
        </w:rPr>
      </w:pPr>
      <w:r>
        <w:rPr>
          <w:rFonts w:hint="eastAsia" w:ascii="Arial" w:hAnsi="Arial"/>
          <w:b/>
          <w:sz w:val="28"/>
          <w:szCs w:val="18"/>
        </w:rPr>
        <w:br w:type="page"/>
      </w:r>
    </w:p>
    <w:p w14:paraId="3CB61D41">
      <w:pPr>
        <w:pStyle w:val="3"/>
        <w:numPr>
          <w:ilvl w:val="0"/>
          <w:numId w:val="0"/>
        </w:numPr>
        <w:tabs>
          <w:tab w:val="clear" w:pos="3398"/>
        </w:tabs>
        <w:ind w:left="420" w:hanging="420"/>
        <w:rPr>
          <w:sz w:val="28"/>
          <w:szCs w:val="18"/>
        </w:rPr>
      </w:pPr>
      <w:bookmarkStart w:id="225" w:name="_Toc17780"/>
      <w:bookmarkStart w:id="226" w:name="_Toc22774"/>
      <w:r>
        <w:rPr>
          <w:rFonts w:hint="eastAsia"/>
          <w:sz w:val="28"/>
          <w:szCs w:val="18"/>
        </w:rPr>
        <w:t>六、类似项目业绩</w:t>
      </w:r>
      <w:bookmarkEnd w:id="221"/>
      <w:r>
        <w:rPr>
          <w:rFonts w:hint="eastAsia"/>
          <w:sz w:val="28"/>
          <w:szCs w:val="18"/>
        </w:rPr>
        <w:t>情况</w:t>
      </w:r>
      <w:bookmarkEnd w:id="222"/>
      <w:bookmarkEnd w:id="225"/>
      <w:bookmarkEnd w:id="226"/>
    </w:p>
    <w:tbl>
      <w:tblPr>
        <w:tblStyle w:val="51"/>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38"/>
        <w:gridCol w:w="1275"/>
        <w:gridCol w:w="1455"/>
        <w:gridCol w:w="1665"/>
        <w:gridCol w:w="1300"/>
        <w:gridCol w:w="1284"/>
      </w:tblGrid>
      <w:tr w14:paraId="1A54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1" w:type="dxa"/>
            <w:vAlign w:val="center"/>
          </w:tcPr>
          <w:p w14:paraId="34B19631">
            <w:pPr>
              <w:spacing w:line="400" w:lineRule="exact"/>
              <w:jc w:val="center"/>
              <w:rPr>
                <w:rFonts w:ascii="宋体" w:hAnsi="宋体" w:cs="宋体"/>
                <w:b/>
                <w:szCs w:val="21"/>
              </w:rPr>
            </w:pPr>
            <w:r>
              <w:rPr>
                <w:rFonts w:hint="eastAsia" w:ascii="宋体" w:hAnsi="宋体" w:cs="宋体"/>
                <w:b/>
                <w:szCs w:val="21"/>
              </w:rPr>
              <w:t>序号</w:t>
            </w:r>
          </w:p>
        </w:tc>
        <w:tc>
          <w:tcPr>
            <w:tcW w:w="1538" w:type="dxa"/>
            <w:vAlign w:val="center"/>
          </w:tcPr>
          <w:p w14:paraId="483CEF20">
            <w:pPr>
              <w:spacing w:line="400" w:lineRule="exact"/>
              <w:jc w:val="center"/>
              <w:rPr>
                <w:rFonts w:ascii="宋体" w:hAnsi="宋体" w:cs="宋体"/>
                <w:b/>
                <w:szCs w:val="21"/>
              </w:rPr>
            </w:pPr>
            <w:r>
              <w:rPr>
                <w:rFonts w:hint="eastAsia" w:ascii="宋体" w:hAnsi="宋体" w:cs="宋体"/>
                <w:b/>
                <w:szCs w:val="21"/>
              </w:rPr>
              <w:t>合同签订日期</w:t>
            </w:r>
          </w:p>
        </w:tc>
        <w:tc>
          <w:tcPr>
            <w:tcW w:w="1275" w:type="dxa"/>
            <w:vAlign w:val="center"/>
          </w:tcPr>
          <w:p w14:paraId="30099907">
            <w:pPr>
              <w:spacing w:line="400" w:lineRule="exact"/>
              <w:jc w:val="center"/>
              <w:rPr>
                <w:rFonts w:ascii="宋体" w:hAnsi="宋体" w:cs="宋体"/>
                <w:b/>
                <w:szCs w:val="21"/>
              </w:rPr>
            </w:pPr>
            <w:r>
              <w:rPr>
                <w:rFonts w:hint="eastAsia" w:ascii="宋体" w:hAnsi="宋体" w:cs="宋体"/>
                <w:b/>
                <w:szCs w:val="21"/>
              </w:rPr>
              <w:t>项目名称</w:t>
            </w:r>
          </w:p>
        </w:tc>
        <w:tc>
          <w:tcPr>
            <w:tcW w:w="1455" w:type="dxa"/>
            <w:vAlign w:val="center"/>
          </w:tcPr>
          <w:p w14:paraId="1E8EBE7B">
            <w:pPr>
              <w:spacing w:line="400" w:lineRule="exact"/>
              <w:jc w:val="center"/>
              <w:rPr>
                <w:rFonts w:ascii="宋体" w:hAnsi="宋体" w:cs="宋体"/>
                <w:b/>
                <w:szCs w:val="21"/>
              </w:rPr>
            </w:pPr>
            <w:r>
              <w:rPr>
                <w:rFonts w:hint="eastAsia" w:ascii="宋体" w:hAnsi="宋体" w:cs="宋体"/>
                <w:b/>
                <w:szCs w:val="21"/>
              </w:rPr>
              <w:t>合同金额</w:t>
            </w:r>
          </w:p>
        </w:tc>
        <w:tc>
          <w:tcPr>
            <w:tcW w:w="1665" w:type="dxa"/>
            <w:vAlign w:val="center"/>
          </w:tcPr>
          <w:p w14:paraId="0A25357D">
            <w:pPr>
              <w:widowControl/>
              <w:jc w:val="center"/>
              <w:rPr>
                <w:rFonts w:ascii="宋体" w:hAnsi="宋体" w:cs="宋体"/>
                <w:b/>
                <w:szCs w:val="21"/>
              </w:rPr>
            </w:pPr>
            <w:r>
              <w:rPr>
                <w:rFonts w:hint="eastAsia" w:ascii="宋体" w:hAnsi="宋体" w:cs="宋体"/>
                <w:b/>
                <w:bCs/>
                <w:color w:val="000000"/>
                <w:kern w:val="0"/>
                <w:szCs w:val="21"/>
              </w:rPr>
              <w:t>项目内容</w:t>
            </w:r>
          </w:p>
        </w:tc>
        <w:tc>
          <w:tcPr>
            <w:tcW w:w="1300" w:type="dxa"/>
            <w:vAlign w:val="center"/>
          </w:tcPr>
          <w:p w14:paraId="40013712">
            <w:pPr>
              <w:widowControl/>
              <w:jc w:val="center"/>
              <w:rPr>
                <w:rFonts w:ascii="宋体" w:hAnsi="宋体" w:cs="宋体"/>
                <w:b/>
                <w:szCs w:val="21"/>
              </w:rPr>
            </w:pPr>
            <w:r>
              <w:rPr>
                <w:rFonts w:hint="eastAsia" w:ascii="宋体" w:hAnsi="宋体" w:cs="宋体"/>
                <w:b/>
                <w:bCs/>
                <w:color w:val="000000"/>
                <w:kern w:val="0"/>
                <w:szCs w:val="21"/>
              </w:rPr>
              <w:t>服务期</w:t>
            </w:r>
          </w:p>
        </w:tc>
        <w:tc>
          <w:tcPr>
            <w:tcW w:w="1284" w:type="dxa"/>
            <w:vAlign w:val="center"/>
          </w:tcPr>
          <w:p w14:paraId="40DAABBB">
            <w:pPr>
              <w:widowControl/>
              <w:jc w:val="left"/>
              <w:rPr>
                <w:rFonts w:ascii="宋体" w:hAnsi="宋体" w:cs="宋体"/>
                <w:b/>
                <w:szCs w:val="21"/>
              </w:rPr>
            </w:pPr>
            <w:r>
              <w:rPr>
                <w:rFonts w:hint="eastAsia" w:ascii="宋体" w:hAnsi="宋体" w:cs="宋体"/>
                <w:b/>
                <w:bCs/>
                <w:color w:val="000000"/>
                <w:kern w:val="0"/>
                <w:szCs w:val="21"/>
              </w:rPr>
              <w:t>用户名称</w:t>
            </w:r>
          </w:p>
        </w:tc>
      </w:tr>
      <w:tr w14:paraId="3D64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tcPr>
          <w:p w14:paraId="1FB157E8">
            <w:pPr>
              <w:widowControl/>
              <w:rPr>
                <w:rFonts w:ascii="宋体" w:hAnsi="宋体" w:cs="宋体"/>
                <w:szCs w:val="21"/>
              </w:rPr>
            </w:pPr>
          </w:p>
        </w:tc>
        <w:tc>
          <w:tcPr>
            <w:tcW w:w="1538" w:type="dxa"/>
          </w:tcPr>
          <w:p w14:paraId="2ADE593F">
            <w:pPr>
              <w:widowControl/>
              <w:rPr>
                <w:rFonts w:ascii="宋体" w:hAnsi="宋体" w:cs="宋体"/>
                <w:szCs w:val="21"/>
              </w:rPr>
            </w:pPr>
          </w:p>
        </w:tc>
        <w:tc>
          <w:tcPr>
            <w:tcW w:w="1275" w:type="dxa"/>
          </w:tcPr>
          <w:p w14:paraId="49BAC24B">
            <w:pPr>
              <w:widowControl/>
              <w:rPr>
                <w:rFonts w:ascii="宋体" w:hAnsi="宋体" w:cs="宋体"/>
                <w:szCs w:val="21"/>
              </w:rPr>
            </w:pPr>
          </w:p>
        </w:tc>
        <w:tc>
          <w:tcPr>
            <w:tcW w:w="1455" w:type="dxa"/>
          </w:tcPr>
          <w:p w14:paraId="0FB7638C">
            <w:pPr>
              <w:widowControl/>
              <w:rPr>
                <w:rFonts w:ascii="宋体" w:hAnsi="宋体" w:cs="宋体"/>
                <w:szCs w:val="21"/>
              </w:rPr>
            </w:pPr>
          </w:p>
        </w:tc>
        <w:tc>
          <w:tcPr>
            <w:tcW w:w="1665" w:type="dxa"/>
          </w:tcPr>
          <w:p w14:paraId="76F4013A">
            <w:pPr>
              <w:widowControl/>
              <w:rPr>
                <w:rFonts w:ascii="宋体" w:hAnsi="宋体" w:cs="宋体"/>
                <w:szCs w:val="21"/>
              </w:rPr>
            </w:pPr>
          </w:p>
        </w:tc>
        <w:tc>
          <w:tcPr>
            <w:tcW w:w="1300" w:type="dxa"/>
          </w:tcPr>
          <w:p w14:paraId="2F285C60">
            <w:pPr>
              <w:widowControl/>
              <w:rPr>
                <w:rFonts w:ascii="宋体" w:hAnsi="宋体" w:cs="宋体"/>
                <w:szCs w:val="21"/>
              </w:rPr>
            </w:pPr>
          </w:p>
        </w:tc>
        <w:tc>
          <w:tcPr>
            <w:tcW w:w="1284" w:type="dxa"/>
          </w:tcPr>
          <w:p w14:paraId="26EBF3B6">
            <w:pPr>
              <w:widowControl/>
              <w:rPr>
                <w:rFonts w:ascii="宋体" w:hAnsi="宋体" w:cs="宋体"/>
                <w:szCs w:val="21"/>
              </w:rPr>
            </w:pPr>
          </w:p>
        </w:tc>
      </w:tr>
      <w:tr w14:paraId="41DE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tcPr>
          <w:p w14:paraId="3298FCAE">
            <w:pPr>
              <w:widowControl/>
              <w:rPr>
                <w:rFonts w:ascii="宋体" w:hAnsi="宋体" w:cs="宋体"/>
                <w:szCs w:val="21"/>
              </w:rPr>
            </w:pPr>
          </w:p>
        </w:tc>
        <w:tc>
          <w:tcPr>
            <w:tcW w:w="1538" w:type="dxa"/>
          </w:tcPr>
          <w:p w14:paraId="16FD053D">
            <w:pPr>
              <w:widowControl/>
              <w:rPr>
                <w:rFonts w:ascii="宋体" w:hAnsi="宋体" w:cs="宋体"/>
                <w:szCs w:val="21"/>
              </w:rPr>
            </w:pPr>
          </w:p>
        </w:tc>
        <w:tc>
          <w:tcPr>
            <w:tcW w:w="1275" w:type="dxa"/>
          </w:tcPr>
          <w:p w14:paraId="7EE1C0C3">
            <w:pPr>
              <w:widowControl/>
              <w:rPr>
                <w:rFonts w:ascii="宋体" w:hAnsi="宋体" w:cs="宋体"/>
                <w:szCs w:val="21"/>
              </w:rPr>
            </w:pPr>
          </w:p>
        </w:tc>
        <w:tc>
          <w:tcPr>
            <w:tcW w:w="1455" w:type="dxa"/>
          </w:tcPr>
          <w:p w14:paraId="74E53919">
            <w:pPr>
              <w:widowControl/>
              <w:rPr>
                <w:rFonts w:ascii="宋体" w:hAnsi="宋体" w:cs="宋体"/>
                <w:szCs w:val="21"/>
              </w:rPr>
            </w:pPr>
          </w:p>
        </w:tc>
        <w:tc>
          <w:tcPr>
            <w:tcW w:w="1665" w:type="dxa"/>
          </w:tcPr>
          <w:p w14:paraId="16C5E985">
            <w:pPr>
              <w:widowControl/>
              <w:rPr>
                <w:rFonts w:ascii="宋体" w:hAnsi="宋体" w:cs="宋体"/>
                <w:szCs w:val="21"/>
              </w:rPr>
            </w:pPr>
          </w:p>
        </w:tc>
        <w:tc>
          <w:tcPr>
            <w:tcW w:w="1300" w:type="dxa"/>
          </w:tcPr>
          <w:p w14:paraId="0FA7CE08">
            <w:pPr>
              <w:widowControl/>
              <w:rPr>
                <w:rFonts w:ascii="宋体" w:hAnsi="宋体" w:cs="宋体"/>
                <w:szCs w:val="21"/>
              </w:rPr>
            </w:pPr>
          </w:p>
        </w:tc>
        <w:tc>
          <w:tcPr>
            <w:tcW w:w="1284" w:type="dxa"/>
          </w:tcPr>
          <w:p w14:paraId="44FA1D3C">
            <w:pPr>
              <w:widowControl/>
              <w:rPr>
                <w:rFonts w:ascii="宋体" w:hAnsi="宋体" w:cs="宋体"/>
                <w:szCs w:val="21"/>
              </w:rPr>
            </w:pPr>
          </w:p>
        </w:tc>
      </w:tr>
      <w:tr w14:paraId="739D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tcPr>
          <w:p w14:paraId="7B9820B7">
            <w:pPr>
              <w:widowControl/>
              <w:rPr>
                <w:rFonts w:ascii="宋体" w:hAnsi="宋体" w:cs="宋体"/>
                <w:szCs w:val="21"/>
              </w:rPr>
            </w:pPr>
          </w:p>
        </w:tc>
        <w:tc>
          <w:tcPr>
            <w:tcW w:w="1538" w:type="dxa"/>
          </w:tcPr>
          <w:p w14:paraId="1C855E76">
            <w:pPr>
              <w:widowControl/>
              <w:rPr>
                <w:rFonts w:ascii="宋体" w:hAnsi="宋体" w:cs="宋体"/>
                <w:szCs w:val="21"/>
              </w:rPr>
            </w:pPr>
          </w:p>
        </w:tc>
        <w:tc>
          <w:tcPr>
            <w:tcW w:w="1275" w:type="dxa"/>
          </w:tcPr>
          <w:p w14:paraId="4775EC52">
            <w:pPr>
              <w:widowControl/>
              <w:rPr>
                <w:rFonts w:ascii="宋体" w:hAnsi="宋体" w:cs="宋体"/>
                <w:szCs w:val="21"/>
              </w:rPr>
            </w:pPr>
          </w:p>
        </w:tc>
        <w:tc>
          <w:tcPr>
            <w:tcW w:w="1455" w:type="dxa"/>
          </w:tcPr>
          <w:p w14:paraId="5029AB0D">
            <w:pPr>
              <w:widowControl/>
              <w:rPr>
                <w:rFonts w:ascii="宋体" w:hAnsi="宋体" w:cs="宋体"/>
                <w:szCs w:val="21"/>
              </w:rPr>
            </w:pPr>
          </w:p>
        </w:tc>
        <w:tc>
          <w:tcPr>
            <w:tcW w:w="1665" w:type="dxa"/>
          </w:tcPr>
          <w:p w14:paraId="2E6EE46E">
            <w:pPr>
              <w:widowControl/>
              <w:rPr>
                <w:rFonts w:ascii="宋体" w:hAnsi="宋体" w:cs="宋体"/>
                <w:szCs w:val="21"/>
              </w:rPr>
            </w:pPr>
          </w:p>
        </w:tc>
        <w:tc>
          <w:tcPr>
            <w:tcW w:w="1300" w:type="dxa"/>
          </w:tcPr>
          <w:p w14:paraId="26B0FB72">
            <w:pPr>
              <w:widowControl/>
              <w:rPr>
                <w:rFonts w:ascii="宋体" w:hAnsi="宋体" w:cs="宋体"/>
                <w:szCs w:val="21"/>
              </w:rPr>
            </w:pPr>
          </w:p>
        </w:tc>
        <w:tc>
          <w:tcPr>
            <w:tcW w:w="1284" w:type="dxa"/>
          </w:tcPr>
          <w:p w14:paraId="7CBAC2E1">
            <w:pPr>
              <w:widowControl/>
              <w:rPr>
                <w:rFonts w:ascii="宋体" w:hAnsi="宋体" w:cs="宋体"/>
                <w:szCs w:val="21"/>
              </w:rPr>
            </w:pPr>
          </w:p>
        </w:tc>
      </w:tr>
      <w:tr w14:paraId="57D2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tcPr>
          <w:p w14:paraId="3634CC02">
            <w:pPr>
              <w:widowControl/>
              <w:rPr>
                <w:rFonts w:ascii="宋体" w:hAnsi="宋体" w:cs="宋体"/>
                <w:szCs w:val="21"/>
              </w:rPr>
            </w:pPr>
          </w:p>
        </w:tc>
        <w:tc>
          <w:tcPr>
            <w:tcW w:w="1538" w:type="dxa"/>
          </w:tcPr>
          <w:p w14:paraId="3CA5812A">
            <w:pPr>
              <w:widowControl/>
              <w:rPr>
                <w:rFonts w:ascii="宋体" w:hAnsi="宋体" w:cs="宋体"/>
                <w:szCs w:val="21"/>
              </w:rPr>
            </w:pPr>
          </w:p>
        </w:tc>
        <w:tc>
          <w:tcPr>
            <w:tcW w:w="1275" w:type="dxa"/>
          </w:tcPr>
          <w:p w14:paraId="33907543">
            <w:pPr>
              <w:widowControl/>
              <w:rPr>
                <w:rFonts w:ascii="宋体" w:hAnsi="宋体" w:cs="宋体"/>
                <w:szCs w:val="21"/>
              </w:rPr>
            </w:pPr>
          </w:p>
        </w:tc>
        <w:tc>
          <w:tcPr>
            <w:tcW w:w="1455" w:type="dxa"/>
          </w:tcPr>
          <w:p w14:paraId="36CE888F">
            <w:pPr>
              <w:widowControl/>
              <w:rPr>
                <w:rFonts w:ascii="宋体" w:hAnsi="宋体" w:cs="宋体"/>
                <w:szCs w:val="21"/>
              </w:rPr>
            </w:pPr>
          </w:p>
        </w:tc>
        <w:tc>
          <w:tcPr>
            <w:tcW w:w="1665" w:type="dxa"/>
          </w:tcPr>
          <w:p w14:paraId="453EED6B">
            <w:pPr>
              <w:widowControl/>
              <w:rPr>
                <w:rFonts w:ascii="宋体" w:hAnsi="宋体" w:cs="宋体"/>
                <w:szCs w:val="21"/>
              </w:rPr>
            </w:pPr>
          </w:p>
        </w:tc>
        <w:tc>
          <w:tcPr>
            <w:tcW w:w="1300" w:type="dxa"/>
          </w:tcPr>
          <w:p w14:paraId="6433F81A">
            <w:pPr>
              <w:widowControl/>
              <w:rPr>
                <w:rFonts w:ascii="宋体" w:hAnsi="宋体" w:cs="宋体"/>
                <w:szCs w:val="21"/>
              </w:rPr>
            </w:pPr>
          </w:p>
        </w:tc>
        <w:tc>
          <w:tcPr>
            <w:tcW w:w="1284" w:type="dxa"/>
          </w:tcPr>
          <w:p w14:paraId="48A0481F">
            <w:pPr>
              <w:widowControl/>
              <w:rPr>
                <w:rFonts w:ascii="宋体" w:hAnsi="宋体" w:cs="宋体"/>
                <w:szCs w:val="21"/>
              </w:rPr>
            </w:pPr>
          </w:p>
        </w:tc>
      </w:tr>
      <w:tr w14:paraId="01D7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tcPr>
          <w:p w14:paraId="6BD2671C">
            <w:pPr>
              <w:widowControl/>
              <w:rPr>
                <w:rFonts w:ascii="宋体" w:hAnsi="宋体" w:cs="宋体"/>
                <w:szCs w:val="21"/>
              </w:rPr>
            </w:pPr>
          </w:p>
        </w:tc>
        <w:tc>
          <w:tcPr>
            <w:tcW w:w="1538" w:type="dxa"/>
          </w:tcPr>
          <w:p w14:paraId="3F487FF6">
            <w:pPr>
              <w:widowControl/>
              <w:rPr>
                <w:rFonts w:ascii="宋体" w:hAnsi="宋体" w:cs="宋体"/>
                <w:szCs w:val="21"/>
              </w:rPr>
            </w:pPr>
          </w:p>
        </w:tc>
        <w:tc>
          <w:tcPr>
            <w:tcW w:w="1275" w:type="dxa"/>
          </w:tcPr>
          <w:p w14:paraId="1A0FDD7F">
            <w:pPr>
              <w:widowControl/>
              <w:rPr>
                <w:rFonts w:ascii="宋体" w:hAnsi="宋体" w:cs="宋体"/>
                <w:szCs w:val="21"/>
              </w:rPr>
            </w:pPr>
          </w:p>
        </w:tc>
        <w:tc>
          <w:tcPr>
            <w:tcW w:w="1455" w:type="dxa"/>
          </w:tcPr>
          <w:p w14:paraId="0875349A">
            <w:pPr>
              <w:widowControl/>
              <w:rPr>
                <w:rFonts w:ascii="宋体" w:hAnsi="宋体" w:cs="宋体"/>
                <w:szCs w:val="21"/>
              </w:rPr>
            </w:pPr>
          </w:p>
        </w:tc>
        <w:tc>
          <w:tcPr>
            <w:tcW w:w="1665" w:type="dxa"/>
          </w:tcPr>
          <w:p w14:paraId="6107E040">
            <w:pPr>
              <w:widowControl/>
              <w:rPr>
                <w:rFonts w:ascii="宋体" w:hAnsi="宋体" w:cs="宋体"/>
                <w:szCs w:val="21"/>
              </w:rPr>
            </w:pPr>
          </w:p>
        </w:tc>
        <w:tc>
          <w:tcPr>
            <w:tcW w:w="1300" w:type="dxa"/>
          </w:tcPr>
          <w:p w14:paraId="76044C49">
            <w:pPr>
              <w:widowControl/>
              <w:rPr>
                <w:rFonts w:ascii="宋体" w:hAnsi="宋体" w:cs="宋体"/>
                <w:szCs w:val="21"/>
              </w:rPr>
            </w:pPr>
          </w:p>
        </w:tc>
        <w:tc>
          <w:tcPr>
            <w:tcW w:w="1284" w:type="dxa"/>
          </w:tcPr>
          <w:p w14:paraId="63249538">
            <w:pPr>
              <w:widowControl/>
              <w:rPr>
                <w:rFonts w:ascii="宋体" w:hAnsi="宋体" w:cs="宋体"/>
                <w:szCs w:val="21"/>
              </w:rPr>
            </w:pPr>
          </w:p>
        </w:tc>
      </w:tr>
      <w:tr w14:paraId="3651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1" w:type="dxa"/>
          </w:tcPr>
          <w:p w14:paraId="65A9510E">
            <w:pPr>
              <w:widowControl/>
              <w:rPr>
                <w:rFonts w:ascii="宋体" w:hAnsi="宋体" w:cs="宋体"/>
                <w:szCs w:val="21"/>
              </w:rPr>
            </w:pPr>
          </w:p>
        </w:tc>
        <w:tc>
          <w:tcPr>
            <w:tcW w:w="1538" w:type="dxa"/>
          </w:tcPr>
          <w:p w14:paraId="7A13B0B1">
            <w:pPr>
              <w:widowControl/>
              <w:rPr>
                <w:rFonts w:ascii="宋体" w:hAnsi="宋体" w:cs="宋体"/>
                <w:szCs w:val="21"/>
              </w:rPr>
            </w:pPr>
          </w:p>
        </w:tc>
        <w:tc>
          <w:tcPr>
            <w:tcW w:w="1275" w:type="dxa"/>
          </w:tcPr>
          <w:p w14:paraId="616F6EB4">
            <w:pPr>
              <w:widowControl/>
              <w:rPr>
                <w:rFonts w:ascii="宋体" w:hAnsi="宋体" w:cs="宋体"/>
                <w:szCs w:val="21"/>
              </w:rPr>
            </w:pPr>
          </w:p>
        </w:tc>
        <w:tc>
          <w:tcPr>
            <w:tcW w:w="1455" w:type="dxa"/>
          </w:tcPr>
          <w:p w14:paraId="1086BE38">
            <w:pPr>
              <w:widowControl/>
              <w:rPr>
                <w:rFonts w:ascii="宋体" w:hAnsi="宋体" w:cs="宋体"/>
                <w:szCs w:val="21"/>
              </w:rPr>
            </w:pPr>
          </w:p>
        </w:tc>
        <w:tc>
          <w:tcPr>
            <w:tcW w:w="1665" w:type="dxa"/>
          </w:tcPr>
          <w:p w14:paraId="37367EB6">
            <w:pPr>
              <w:widowControl/>
              <w:rPr>
                <w:rFonts w:ascii="宋体" w:hAnsi="宋体" w:cs="宋体"/>
                <w:szCs w:val="21"/>
              </w:rPr>
            </w:pPr>
          </w:p>
        </w:tc>
        <w:tc>
          <w:tcPr>
            <w:tcW w:w="1300" w:type="dxa"/>
          </w:tcPr>
          <w:p w14:paraId="5FDF8061">
            <w:pPr>
              <w:widowControl/>
              <w:rPr>
                <w:rFonts w:ascii="宋体" w:hAnsi="宋体" w:cs="宋体"/>
                <w:szCs w:val="21"/>
              </w:rPr>
            </w:pPr>
          </w:p>
        </w:tc>
        <w:tc>
          <w:tcPr>
            <w:tcW w:w="1284" w:type="dxa"/>
          </w:tcPr>
          <w:p w14:paraId="5A7EE396">
            <w:pPr>
              <w:widowControl/>
              <w:rPr>
                <w:rFonts w:ascii="宋体" w:hAnsi="宋体" w:cs="宋体"/>
                <w:szCs w:val="21"/>
              </w:rPr>
            </w:pPr>
          </w:p>
        </w:tc>
      </w:tr>
      <w:tr w14:paraId="1D1D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tcPr>
          <w:p w14:paraId="18118B3B">
            <w:pPr>
              <w:widowControl/>
              <w:rPr>
                <w:rFonts w:ascii="宋体" w:hAnsi="宋体" w:cs="宋体"/>
                <w:szCs w:val="21"/>
              </w:rPr>
            </w:pPr>
          </w:p>
        </w:tc>
        <w:tc>
          <w:tcPr>
            <w:tcW w:w="1538" w:type="dxa"/>
          </w:tcPr>
          <w:p w14:paraId="6E4B4C39">
            <w:pPr>
              <w:widowControl/>
              <w:rPr>
                <w:rFonts w:ascii="宋体" w:hAnsi="宋体" w:cs="宋体"/>
                <w:szCs w:val="21"/>
              </w:rPr>
            </w:pPr>
          </w:p>
        </w:tc>
        <w:tc>
          <w:tcPr>
            <w:tcW w:w="1275" w:type="dxa"/>
          </w:tcPr>
          <w:p w14:paraId="4511B591">
            <w:pPr>
              <w:widowControl/>
              <w:rPr>
                <w:rFonts w:ascii="宋体" w:hAnsi="宋体" w:cs="宋体"/>
                <w:szCs w:val="21"/>
              </w:rPr>
            </w:pPr>
          </w:p>
        </w:tc>
        <w:tc>
          <w:tcPr>
            <w:tcW w:w="1455" w:type="dxa"/>
          </w:tcPr>
          <w:p w14:paraId="6B16F9DB">
            <w:pPr>
              <w:widowControl/>
              <w:rPr>
                <w:rFonts w:ascii="宋体" w:hAnsi="宋体" w:cs="宋体"/>
                <w:szCs w:val="21"/>
              </w:rPr>
            </w:pPr>
          </w:p>
        </w:tc>
        <w:tc>
          <w:tcPr>
            <w:tcW w:w="1665" w:type="dxa"/>
          </w:tcPr>
          <w:p w14:paraId="526BBA8E">
            <w:pPr>
              <w:widowControl/>
              <w:rPr>
                <w:rFonts w:ascii="宋体" w:hAnsi="宋体" w:cs="宋体"/>
                <w:szCs w:val="21"/>
              </w:rPr>
            </w:pPr>
          </w:p>
        </w:tc>
        <w:tc>
          <w:tcPr>
            <w:tcW w:w="1300" w:type="dxa"/>
          </w:tcPr>
          <w:p w14:paraId="5DC3BF55">
            <w:pPr>
              <w:widowControl/>
              <w:rPr>
                <w:rFonts w:ascii="宋体" w:hAnsi="宋体" w:cs="宋体"/>
                <w:szCs w:val="21"/>
              </w:rPr>
            </w:pPr>
          </w:p>
        </w:tc>
        <w:tc>
          <w:tcPr>
            <w:tcW w:w="1284" w:type="dxa"/>
          </w:tcPr>
          <w:p w14:paraId="384E11C5">
            <w:pPr>
              <w:widowControl/>
              <w:rPr>
                <w:rFonts w:ascii="宋体" w:hAnsi="宋体" w:cs="宋体"/>
                <w:szCs w:val="21"/>
              </w:rPr>
            </w:pPr>
          </w:p>
        </w:tc>
      </w:tr>
      <w:tr w14:paraId="56D9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1" w:type="dxa"/>
          </w:tcPr>
          <w:p w14:paraId="028E266C">
            <w:pPr>
              <w:widowControl/>
              <w:rPr>
                <w:rFonts w:ascii="宋体" w:hAnsi="宋体" w:cs="宋体"/>
                <w:szCs w:val="21"/>
              </w:rPr>
            </w:pPr>
          </w:p>
        </w:tc>
        <w:tc>
          <w:tcPr>
            <w:tcW w:w="1538" w:type="dxa"/>
          </w:tcPr>
          <w:p w14:paraId="748F018A">
            <w:pPr>
              <w:widowControl/>
              <w:rPr>
                <w:rFonts w:ascii="宋体" w:hAnsi="宋体" w:cs="宋体"/>
                <w:szCs w:val="21"/>
              </w:rPr>
            </w:pPr>
          </w:p>
        </w:tc>
        <w:tc>
          <w:tcPr>
            <w:tcW w:w="1275" w:type="dxa"/>
          </w:tcPr>
          <w:p w14:paraId="629A6DF2">
            <w:pPr>
              <w:widowControl/>
              <w:rPr>
                <w:rFonts w:ascii="宋体" w:hAnsi="宋体" w:cs="宋体"/>
                <w:szCs w:val="21"/>
              </w:rPr>
            </w:pPr>
          </w:p>
        </w:tc>
        <w:tc>
          <w:tcPr>
            <w:tcW w:w="1455" w:type="dxa"/>
          </w:tcPr>
          <w:p w14:paraId="33A3161F">
            <w:pPr>
              <w:widowControl/>
              <w:rPr>
                <w:rFonts w:ascii="宋体" w:hAnsi="宋体" w:cs="宋体"/>
                <w:szCs w:val="21"/>
              </w:rPr>
            </w:pPr>
          </w:p>
        </w:tc>
        <w:tc>
          <w:tcPr>
            <w:tcW w:w="1665" w:type="dxa"/>
          </w:tcPr>
          <w:p w14:paraId="5B3A1F17">
            <w:pPr>
              <w:widowControl/>
              <w:rPr>
                <w:rFonts w:ascii="宋体" w:hAnsi="宋体" w:cs="宋体"/>
                <w:szCs w:val="21"/>
              </w:rPr>
            </w:pPr>
          </w:p>
        </w:tc>
        <w:tc>
          <w:tcPr>
            <w:tcW w:w="1300" w:type="dxa"/>
          </w:tcPr>
          <w:p w14:paraId="1085036D">
            <w:pPr>
              <w:widowControl/>
              <w:rPr>
                <w:rFonts w:ascii="宋体" w:hAnsi="宋体" w:cs="宋体"/>
                <w:szCs w:val="21"/>
              </w:rPr>
            </w:pPr>
          </w:p>
        </w:tc>
        <w:tc>
          <w:tcPr>
            <w:tcW w:w="1284" w:type="dxa"/>
          </w:tcPr>
          <w:p w14:paraId="1FDA171D">
            <w:pPr>
              <w:widowControl/>
              <w:rPr>
                <w:rFonts w:ascii="宋体" w:hAnsi="宋体" w:cs="宋体"/>
                <w:szCs w:val="21"/>
              </w:rPr>
            </w:pPr>
          </w:p>
        </w:tc>
      </w:tr>
    </w:tbl>
    <w:p w14:paraId="364F258C">
      <w:pPr>
        <w:rPr>
          <w:szCs w:val="21"/>
        </w:rPr>
      </w:pPr>
    </w:p>
    <w:p w14:paraId="0B5FB2BA">
      <w:pPr>
        <w:rPr>
          <w:rFonts w:ascii="宋体" w:hAnsi="宋体" w:cs="宋体"/>
          <w:color w:val="000000"/>
          <w:kern w:val="0"/>
          <w:szCs w:val="21"/>
        </w:rPr>
      </w:pPr>
      <w:r>
        <w:rPr>
          <w:rFonts w:hint="eastAsia" w:ascii="宋体" w:hAnsi="宋体" w:cs="宋体"/>
          <w:color w:val="000000"/>
          <w:kern w:val="0"/>
          <w:szCs w:val="21"/>
        </w:rPr>
        <w:t>注：附证明材料</w:t>
      </w:r>
    </w:p>
    <w:p w14:paraId="77B9DD3C">
      <w:pPr>
        <w:rPr>
          <w:rFonts w:ascii="宋体" w:hAnsi="宋体" w:cs="宋体"/>
          <w:color w:val="000000"/>
          <w:kern w:val="0"/>
          <w:szCs w:val="21"/>
        </w:rPr>
      </w:pPr>
    </w:p>
    <w:p w14:paraId="2C21D0BA">
      <w:pPr>
        <w:rPr>
          <w:rFonts w:ascii="宋体" w:hAnsi="宋体" w:cs="宋体"/>
          <w:color w:val="000000"/>
          <w:kern w:val="0"/>
          <w:szCs w:val="21"/>
        </w:rPr>
      </w:pPr>
    </w:p>
    <w:p w14:paraId="2120D19A">
      <w:pPr>
        <w:spacing w:line="52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0920BE11">
      <w:pPr>
        <w:spacing w:line="52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7B435515">
      <w:pPr>
        <w:spacing w:line="52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977A06">
      <w:pPr>
        <w:rPr>
          <w:rFonts w:ascii="宋体" w:hAnsi="宋体" w:cs="宋体"/>
          <w:color w:val="000000"/>
          <w:kern w:val="0"/>
          <w:szCs w:val="21"/>
        </w:rPr>
      </w:pPr>
    </w:p>
    <w:p w14:paraId="025517B8">
      <w:pPr>
        <w:rPr>
          <w:sz w:val="28"/>
          <w:szCs w:val="18"/>
        </w:rPr>
      </w:pPr>
      <w:bookmarkStart w:id="227" w:name="_Toc29943"/>
      <w:bookmarkStart w:id="228" w:name="_Toc22257"/>
      <w:r>
        <w:rPr>
          <w:rFonts w:hint="eastAsia"/>
          <w:sz w:val="28"/>
          <w:szCs w:val="18"/>
        </w:rPr>
        <w:br w:type="page"/>
      </w:r>
    </w:p>
    <w:p w14:paraId="35A0F3E7">
      <w:pPr>
        <w:jc w:val="center"/>
        <w:rPr>
          <w:sz w:val="28"/>
          <w:szCs w:val="18"/>
        </w:rPr>
      </w:pPr>
      <w:r>
        <w:rPr>
          <w:rFonts w:hint="eastAsia"/>
          <w:b/>
          <w:bCs/>
          <w:sz w:val="28"/>
          <w:szCs w:val="18"/>
        </w:rPr>
        <w:t>六、</w:t>
      </w:r>
      <w:bookmarkEnd w:id="227"/>
      <w:bookmarkEnd w:id="228"/>
      <w:bookmarkStart w:id="229" w:name="_Toc15594"/>
      <w:bookmarkStart w:id="230" w:name="_Toc21958"/>
      <w:r>
        <w:rPr>
          <w:rFonts w:hint="eastAsia"/>
          <w:b/>
          <w:bCs/>
          <w:sz w:val="28"/>
          <w:szCs w:val="18"/>
        </w:rPr>
        <w:t>用户评价</w:t>
      </w:r>
      <w:r>
        <w:rPr>
          <w:rFonts w:hint="eastAsia"/>
          <w:sz w:val="28"/>
          <w:szCs w:val="18"/>
        </w:rPr>
        <w:br w:type="page"/>
      </w:r>
    </w:p>
    <w:p w14:paraId="51DFA555">
      <w:pPr>
        <w:pStyle w:val="3"/>
        <w:numPr>
          <w:ilvl w:val="0"/>
          <w:numId w:val="0"/>
        </w:numPr>
        <w:tabs>
          <w:tab w:val="clear" w:pos="3398"/>
        </w:tabs>
      </w:pPr>
      <w:bookmarkStart w:id="231" w:name="_Toc1477"/>
      <w:bookmarkStart w:id="232" w:name="_Toc31433"/>
      <w:r>
        <w:rPr>
          <w:rFonts w:hint="eastAsia"/>
          <w:sz w:val="28"/>
          <w:szCs w:val="28"/>
        </w:rPr>
        <w:t>七、拟派人员情况表</w:t>
      </w:r>
      <w:bookmarkEnd w:id="229"/>
      <w:bookmarkEnd w:id="231"/>
      <w:bookmarkEnd w:id="232"/>
    </w:p>
    <w:tbl>
      <w:tblPr>
        <w:tblStyle w:val="52"/>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58"/>
        <w:gridCol w:w="858"/>
        <w:gridCol w:w="858"/>
        <w:gridCol w:w="858"/>
        <w:gridCol w:w="858"/>
        <w:gridCol w:w="858"/>
        <w:gridCol w:w="858"/>
        <w:gridCol w:w="972"/>
        <w:gridCol w:w="972"/>
      </w:tblGrid>
      <w:tr w14:paraId="0934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7" w:type="dxa"/>
            <w:vAlign w:val="center"/>
          </w:tcPr>
          <w:p w14:paraId="5213520B">
            <w:pPr>
              <w:widowControl/>
              <w:jc w:val="center"/>
              <w:rPr>
                <w:szCs w:val="21"/>
              </w:rPr>
            </w:pPr>
            <w:r>
              <w:rPr>
                <w:rFonts w:hint="eastAsia" w:ascii="宋体" w:hAnsi="宋体" w:cs="宋体"/>
                <w:kern w:val="0"/>
                <w:szCs w:val="21"/>
              </w:rPr>
              <w:t>序号</w:t>
            </w:r>
          </w:p>
        </w:tc>
        <w:tc>
          <w:tcPr>
            <w:tcW w:w="858" w:type="dxa"/>
            <w:vAlign w:val="center"/>
          </w:tcPr>
          <w:p w14:paraId="50AF1657">
            <w:pPr>
              <w:widowControl/>
              <w:jc w:val="center"/>
              <w:rPr>
                <w:szCs w:val="21"/>
              </w:rPr>
            </w:pPr>
            <w:r>
              <w:rPr>
                <w:rFonts w:hint="eastAsia" w:ascii="宋体" w:hAnsi="宋体" w:cs="宋体"/>
                <w:kern w:val="0"/>
                <w:szCs w:val="21"/>
              </w:rPr>
              <w:t>姓名</w:t>
            </w:r>
          </w:p>
        </w:tc>
        <w:tc>
          <w:tcPr>
            <w:tcW w:w="858" w:type="dxa"/>
            <w:vAlign w:val="center"/>
          </w:tcPr>
          <w:p w14:paraId="48BEC93E">
            <w:pPr>
              <w:widowControl/>
              <w:jc w:val="center"/>
              <w:rPr>
                <w:szCs w:val="21"/>
              </w:rPr>
            </w:pPr>
            <w:r>
              <w:rPr>
                <w:rFonts w:hint="eastAsia" w:ascii="宋体" w:hAnsi="宋体" w:cs="宋体"/>
                <w:kern w:val="0"/>
                <w:szCs w:val="21"/>
              </w:rPr>
              <w:t>性别</w:t>
            </w:r>
          </w:p>
        </w:tc>
        <w:tc>
          <w:tcPr>
            <w:tcW w:w="858" w:type="dxa"/>
            <w:vAlign w:val="center"/>
          </w:tcPr>
          <w:p w14:paraId="3914689B">
            <w:pPr>
              <w:widowControl/>
              <w:jc w:val="center"/>
              <w:rPr>
                <w:szCs w:val="21"/>
              </w:rPr>
            </w:pPr>
            <w:r>
              <w:rPr>
                <w:rFonts w:hint="eastAsia" w:ascii="宋体" w:hAnsi="宋体" w:cs="宋体"/>
                <w:kern w:val="0"/>
                <w:szCs w:val="21"/>
              </w:rPr>
              <w:t>年龄</w:t>
            </w:r>
          </w:p>
        </w:tc>
        <w:tc>
          <w:tcPr>
            <w:tcW w:w="858" w:type="dxa"/>
            <w:vAlign w:val="center"/>
          </w:tcPr>
          <w:p w14:paraId="054D26C1">
            <w:pPr>
              <w:widowControl/>
              <w:jc w:val="center"/>
              <w:rPr>
                <w:szCs w:val="21"/>
              </w:rPr>
            </w:pPr>
            <w:r>
              <w:rPr>
                <w:rFonts w:hint="eastAsia" w:ascii="宋体" w:hAnsi="宋体" w:cs="宋体"/>
                <w:kern w:val="0"/>
                <w:szCs w:val="21"/>
              </w:rPr>
              <w:t>学历</w:t>
            </w:r>
          </w:p>
        </w:tc>
        <w:tc>
          <w:tcPr>
            <w:tcW w:w="858" w:type="dxa"/>
            <w:vAlign w:val="center"/>
          </w:tcPr>
          <w:p w14:paraId="3C4C3D72">
            <w:pPr>
              <w:widowControl/>
              <w:jc w:val="center"/>
              <w:rPr>
                <w:rFonts w:ascii="宋体" w:hAnsi="宋体" w:cs="宋体"/>
                <w:kern w:val="0"/>
                <w:szCs w:val="21"/>
              </w:rPr>
            </w:pPr>
            <w:r>
              <w:rPr>
                <w:rFonts w:hint="eastAsia" w:ascii="宋体" w:hAnsi="宋体" w:cs="宋体"/>
                <w:kern w:val="0"/>
                <w:szCs w:val="21"/>
              </w:rPr>
              <w:t>所学</w:t>
            </w:r>
          </w:p>
          <w:p w14:paraId="34058F6B">
            <w:pPr>
              <w:widowControl/>
              <w:jc w:val="center"/>
              <w:rPr>
                <w:szCs w:val="21"/>
              </w:rPr>
            </w:pPr>
            <w:r>
              <w:rPr>
                <w:rFonts w:hint="eastAsia" w:ascii="宋体" w:hAnsi="宋体" w:cs="宋体"/>
                <w:kern w:val="0"/>
                <w:szCs w:val="21"/>
              </w:rPr>
              <w:t>专业</w:t>
            </w:r>
          </w:p>
        </w:tc>
        <w:tc>
          <w:tcPr>
            <w:tcW w:w="858" w:type="dxa"/>
            <w:vAlign w:val="center"/>
          </w:tcPr>
          <w:p w14:paraId="02447B4A">
            <w:pPr>
              <w:widowControl/>
              <w:jc w:val="center"/>
              <w:rPr>
                <w:rFonts w:ascii="宋体" w:hAnsi="宋体" w:cs="宋体"/>
                <w:kern w:val="0"/>
                <w:szCs w:val="21"/>
              </w:rPr>
            </w:pPr>
            <w:r>
              <w:rPr>
                <w:rFonts w:hint="eastAsia" w:ascii="宋体" w:hAnsi="宋体" w:cs="宋体"/>
                <w:kern w:val="0"/>
                <w:szCs w:val="21"/>
              </w:rPr>
              <w:t>从业</w:t>
            </w:r>
          </w:p>
          <w:p w14:paraId="5243C1A5">
            <w:pPr>
              <w:widowControl/>
              <w:jc w:val="center"/>
              <w:rPr>
                <w:szCs w:val="21"/>
              </w:rPr>
            </w:pPr>
            <w:r>
              <w:rPr>
                <w:rFonts w:hint="eastAsia" w:ascii="宋体" w:hAnsi="宋体" w:cs="宋体"/>
                <w:kern w:val="0"/>
                <w:szCs w:val="21"/>
              </w:rPr>
              <w:t>时间</w:t>
            </w:r>
          </w:p>
        </w:tc>
        <w:tc>
          <w:tcPr>
            <w:tcW w:w="858" w:type="dxa"/>
            <w:vAlign w:val="center"/>
          </w:tcPr>
          <w:p w14:paraId="2F7153AE">
            <w:pPr>
              <w:widowControl/>
              <w:jc w:val="center"/>
              <w:rPr>
                <w:rFonts w:ascii="宋体" w:hAnsi="宋体" w:cs="宋体"/>
                <w:kern w:val="0"/>
                <w:szCs w:val="21"/>
              </w:rPr>
            </w:pPr>
            <w:r>
              <w:rPr>
                <w:rFonts w:hint="eastAsia" w:ascii="宋体" w:hAnsi="宋体" w:cs="宋体"/>
                <w:kern w:val="0"/>
                <w:szCs w:val="21"/>
              </w:rPr>
              <w:t>执业</w:t>
            </w:r>
          </w:p>
          <w:p w14:paraId="2FBC8188">
            <w:pPr>
              <w:widowControl/>
              <w:jc w:val="center"/>
              <w:rPr>
                <w:szCs w:val="21"/>
              </w:rPr>
            </w:pPr>
            <w:r>
              <w:rPr>
                <w:rFonts w:hint="eastAsia" w:ascii="宋体" w:hAnsi="宋体" w:cs="宋体"/>
                <w:kern w:val="0"/>
                <w:szCs w:val="21"/>
              </w:rPr>
              <w:t>资格</w:t>
            </w:r>
          </w:p>
        </w:tc>
        <w:tc>
          <w:tcPr>
            <w:tcW w:w="972" w:type="dxa"/>
            <w:vAlign w:val="center"/>
          </w:tcPr>
          <w:p w14:paraId="6ACFFED4">
            <w:pPr>
              <w:widowControl/>
              <w:jc w:val="center"/>
              <w:rPr>
                <w:szCs w:val="21"/>
              </w:rPr>
            </w:pPr>
            <w:r>
              <w:rPr>
                <w:rFonts w:hint="eastAsia" w:ascii="宋体" w:hAnsi="宋体" w:cs="宋体"/>
                <w:kern w:val="0"/>
                <w:szCs w:val="21"/>
              </w:rPr>
              <w:t>拟担任职责</w:t>
            </w:r>
          </w:p>
        </w:tc>
        <w:tc>
          <w:tcPr>
            <w:tcW w:w="972" w:type="dxa"/>
            <w:vAlign w:val="center"/>
          </w:tcPr>
          <w:p w14:paraId="7E78AABC">
            <w:pPr>
              <w:widowControl/>
              <w:jc w:val="center"/>
              <w:rPr>
                <w:rFonts w:ascii="宋体" w:hAnsi="宋体" w:cs="宋体"/>
                <w:kern w:val="0"/>
                <w:szCs w:val="21"/>
              </w:rPr>
            </w:pPr>
            <w:r>
              <w:rPr>
                <w:rFonts w:hint="eastAsia" w:ascii="宋体" w:hAnsi="宋体" w:cs="宋体"/>
                <w:kern w:val="0"/>
                <w:szCs w:val="21"/>
              </w:rPr>
              <w:t>社保是否缴纳</w:t>
            </w:r>
          </w:p>
        </w:tc>
      </w:tr>
      <w:tr w14:paraId="0E4C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7" w:type="dxa"/>
          </w:tcPr>
          <w:p w14:paraId="39B1B7C9">
            <w:pPr>
              <w:rPr>
                <w:szCs w:val="21"/>
              </w:rPr>
            </w:pPr>
          </w:p>
        </w:tc>
        <w:tc>
          <w:tcPr>
            <w:tcW w:w="858" w:type="dxa"/>
          </w:tcPr>
          <w:p w14:paraId="7A8B5393">
            <w:pPr>
              <w:rPr>
                <w:szCs w:val="21"/>
              </w:rPr>
            </w:pPr>
          </w:p>
        </w:tc>
        <w:tc>
          <w:tcPr>
            <w:tcW w:w="858" w:type="dxa"/>
          </w:tcPr>
          <w:p w14:paraId="36642DE0">
            <w:pPr>
              <w:rPr>
                <w:szCs w:val="21"/>
              </w:rPr>
            </w:pPr>
          </w:p>
        </w:tc>
        <w:tc>
          <w:tcPr>
            <w:tcW w:w="858" w:type="dxa"/>
          </w:tcPr>
          <w:p w14:paraId="75B03703">
            <w:pPr>
              <w:rPr>
                <w:szCs w:val="21"/>
              </w:rPr>
            </w:pPr>
          </w:p>
        </w:tc>
        <w:tc>
          <w:tcPr>
            <w:tcW w:w="858" w:type="dxa"/>
          </w:tcPr>
          <w:p w14:paraId="20154FC7">
            <w:pPr>
              <w:rPr>
                <w:szCs w:val="21"/>
              </w:rPr>
            </w:pPr>
          </w:p>
        </w:tc>
        <w:tc>
          <w:tcPr>
            <w:tcW w:w="858" w:type="dxa"/>
          </w:tcPr>
          <w:p w14:paraId="2A0E2943">
            <w:pPr>
              <w:rPr>
                <w:szCs w:val="21"/>
              </w:rPr>
            </w:pPr>
          </w:p>
        </w:tc>
        <w:tc>
          <w:tcPr>
            <w:tcW w:w="858" w:type="dxa"/>
          </w:tcPr>
          <w:p w14:paraId="5652A113">
            <w:pPr>
              <w:rPr>
                <w:szCs w:val="21"/>
              </w:rPr>
            </w:pPr>
          </w:p>
        </w:tc>
        <w:tc>
          <w:tcPr>
            <w:tcW w:w="858" w:type="dxa"/>
          </w:tcPr>
          <w:p w14:paraId="78F4992E">
            <w:pPr>
              <w:rPr>
                <w:szCs w:val="21"/>
              </w:rPr>
            </w:pPr>
          </w:p>
        </w:tc>
        <w:tc>
          <w:tcPr>
            <w:tcW w:w="972" w:type="dxa"/>
          </w:tcPr>
          <w:p w14:paraId="3C48C98D">
            <w:pPr>
              <w:rPr>
                <w:szCs w:val="21"/>
              </w:rPr>
            </w:pPr>
          </w:p>
        </w:tc>
        <w:tc>
          <w:tcPr>
            <w:tcW w:w="972" w:type="dxa"/>
          </w:tcPr>
          <w:p w14:paraId="5C65BAC7">
            <w:pPr>
              <w:rPr>
                <w:szCs w:val="21"/>
              </w:rPr>
            </w:pPr>
          </w:p>
        </w:tc>
      </w:tr>
      <w:tr w14:paraId="401B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7" w:type="dxa"/>
          </w:tcPr>
          <w:p w14:paraId="625B6127">
            <w:pPr>
              <w:rPr>
                <w:szCs w:val="21"/>
              </w:rPr>
            </w:pPr>
          </w:p>
        </w:tc>
        <w:tc>
          <w:tcPr>
            <w:tcW w:w="858" w:type="dxa"/>
          </w:tcPr>
          <w:p w14:paraId="77121414">
            <w:pPr>
              <w:rPr>
                <w:szCs w:val="21"/>
              </w:rPr>
            </w:pPr>
          </w:p>
        </w:tc>
        <w:tc>
          <w:tcPr>
            <w:tcW w:w="858" w:type="dxa"/>
          </w:tcPr>
          <w:p w14:paraId="26C49EA0">
            <w:pPr>
              <w:rPr>
                <w:szCs w:val="21"/>
              </w:rPr>
            </w:pPr>
          </w:p>
        </w:tc>
        <w:tc>
          <w:tcPr>
            <w:tcW w:w="858" w:type="dxa"/>
          </w:tcPr>
          <w:p w14:paraId="78ED4F89">
            <w:pPr>
              <w:rPr>
                <w:szCs w:val="21"/>
              </w:rPr>
            </w:pPr>
          </w:p>
        </w:tc>
        <w:tc>
          <w:tcPr>
            <w:tcW w:w="858" w:type="dxa"/>
          </w:tcPr>
          <w:p w14:paraId="6333912C">
            <w:pPr>
              <w:rPr>
                <w:szCs w:val="21"/>
              </w:rPr>
            </w:pPr>
          </w:p>
        </w:tc>
        <w:tc>
          <w:tcPr>
            <w:tcW w:w="858" w:type="dxa"/>
          </w:tcPr>
          <w:p w14:paraId="5A606BF5">
            <w:pPr>
              <w:rPr>
                <w:szCs w:val="21"/>
              </w:rPr>
            </w:pPr>
          </w:p>
        </w:tc>
        <w:tc>
          <w:tcPr>
            <w:tcW w:w="858" w:type="dxa"/>
          </w:tcPr>
          <w:p w14:paraId="623E93E2">
            <w:pPr>
              <w:rPr>
                <w:szCs w:val="21"/>
              </w:rPr>
            </w:pPr>
          </w:p>
        </w:tc>
        <w:tc>
          <w:tcPr>
            <w:tcW w:w="858" w:type="dxa"/>
          </w:tcPr>
          <w:p w14:paraId="150928AA">
            <w:pPr>
              <w:rPr>
                <w:szCs w:val="21"/>
              </w:rPr>
            </w:pPr>
          </w:p>
        </w:tc>
        <w:tc>
          <w:tcPr>
            <w:tcW w:w="972" w:type="dxa"/>
          </w:tcPr>
          <w:p w14:paraId="77C5E961">
            <w:pPr>
              <w:rPr>
                <w:szCs w:val="21"/>
              </w:rPr>
            </w:pPr>
          </w:p>
        </w:tc>
        <w:tc>
          <w:tcPr>
            <w:tcW w:w="972" w:type="dxa"/>
          </w:tcPr>
          <w:p w14:paraId="6B1CCD3E">
            <w:pPr>
              <w:rPr>
                <w:szCs w:val="21"/>
              </w:rPr>
            </w:pPr>
          </w:p>
        </w:tc>
      </w:tr>
      <w:tr w14:paraId="3A65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7" w:type="dxa"/>
          </w:tcPr>
          <w:p w14:paraId="2365E5D8">
            <w:pPr>
              <w:rPr>
                <w:szCs w:val="21"/>
              </w:rPr>
            </w:pPr>
          </w:p>
        </w:tc>
        <w:tc>
          <w:tcPr>
            <w:tcW w:w="858" w:type="dxa"/>
          </w:tcPr>
          <w:p w14:paraId="122C2B69">
            <w:pPr>
              <w:rPr>
                <w:szCs w:val="21"/>
              </w:rPr>
            </w:pPr>
          </w:p>
        </w:tc>
        <w:tc>
          <w:tcPr>
            <w:tcW w:w="858" w:type="dxa"/>
          </w:tcPr>
          <w:p w14:paraId="2E55906A">
            <w:pPr>
              <w:rPr>
                <w:szCs w:val="21"/>
              </w:rPr>
            </w:pPr>
          </w:p>
        </w:tc>
        <w:tc>
          <w:tcPr>
            <w:tcW w:w="858" w:type="dxa"/>
          </w:tcPr>
          <w:p w14:paraId="5D08F545">
            <w:pPr>
              <w:rPr>
                <w:szCs w:val="21"/>
              </w:rPr>
            </w:pPr>
          </w:p>
        </w:tc>
        <w:tc>
          <w:tcPr>
            <w:tcW w:w="858" w:type="dxa"/>
          </w:tcPr>
          <w:p w14:paraId="7524CDB5">
            <w:pPr>
              <w:rPr>
                <w:szCs w:val="21"/>
              </w:rPr>
            </w:pPr>
          </w:p>
        </w:tc>
        <w:tc>
          <w:tcPr>
            <w:tcW w:w="858" w:type="dxa"/>
          </w:tcPr>
          <w:p w14:paraId="25F09722">
            <w:pPr>
              <w:rPr>
                <w:szCs w:val="21"/>
              </w:rPr>
            </w:pPr>
          </w:p>
        </w:tc>
        <w:tc>
          <w:tcPr>
            <w:tcW w:w="858" w:type="dxa"/>
          </w:tcPr>
          <w:p w14:paraId="2EAF11EE">
            <w:pPr>
              <w:rPr>
                <w:szCs w:val="21"/>
              </w:rPr>
            </w:pPr>
          </w:p>
        </w:tc>
        <w:tc>
          <w:tcPr>
            <w:tcW w:w="858" w:type="dxa"/>
          </w:tcPr>
          <w:p w14:paraId="58091F51">
            <w:pPr>
              <w:rPr>
                <w:szCs w:val="21"/>
              </w:rPr>
            </w:pPr>
          </w:p>
        </w:tc>
        <w:tc>
          <w:tcPr>
            <w:tcW w:w="972" w:type="dxa"/>
          </w:tcPr>
          <w:p w14:paraId="40BFED79">
            <w:pPr>
              <w:rPr>
                <w:szCs w:val="21"/>
              </w:rPr>
            </w:pPr>
          </w:p>
        </w:tc>
        <w:tc>
          <w:tcPr>
            <w:tcW w:w="972" w:type="dxa"/>
          </w:tcPr>
          <w:p w14:paraId="77CC94FE">
            <w:pPr>
              <w:rPr>
                <w:szCs w:val="21"/>
              </w:rPr>
            </w:pPr>
          </w:p>
        </w:tc>
      </w:tr>
      <w:tr w14:paraId="242D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7" w:type="dxa"/>
          </w:tcPr>
          <w:p w14:paraId="47E4AD52">
            <w:pPr>
              <w:rPr>
                <w:szCs w:val="21"/>
              </w:rPr>
            </w:pPr>
          </w:p>
        </w:tc>
        <w:tc>
          <w:tcPr>
            <w:tcW w:w="858" w:type="dxa"/>
          </w:tcPr>
          <w:p w14:paraId="15DAAC4D">
            <w:pPr>
              <w:rPr>
                <w:szCs w:val="21"/>
              </w:rPr>
            </w:pPr>
          </w:p>
        </w:tc>
        <w:tc>
          <w:tcPr>
            <w:tcW w:w="858" w:type="dxa"/>
          </w:tcPr>
          <w:p w14:paraId="3EE6BC68">
            <w:pPr>
              <w:rPr>
                <w:szCs w:val="21"/>
              </w:rPr>
            </w:pPr>
          </w:p>
        </w:tc>
        <w:tc>
          <w:tcPr>
            <w:tcW w:w="858" w:type="dxa"/>
          </w:tcPr>
          <w:p w14:paraId="496EF7A3">
            <w:pPr>
              <w:rPr>
                <w:szCs w:val="21"/>
              </w:rPr>
            </w:pPr>
          </w:p>
        </w:tc>
        <w:tc>
          <w:tcPr>
            <w:tcW w:w="858" w:type="dxa"/>
          </w:tcPr>
          <w:p w14:paraId="0BC0FAB2">
            <w:pPr>
              <w:rPr>
                <w:szCs w:val="21"/>
              </w:rPr>
            </w:pPr>
          </w:p>
        </w:tc>
        <w:tc>
          <w:tcPr>
            <w:tcW w:w="858" w:type="dxa"/>
          </w:tcPr>
          <w:p w14:paraId="4173D1AE">
            <w:pPr>
              <w:rPr>
                <w:szCs w:val="21"/>
              </w:rPr>
            </w:pPr>
          </w:p>
        </w:tc>
        <w:tc>
          <w:tcPr>
            <w:tcW w:w="858" w:type="dxa"/>
          </w:tcPr>
          <w:p w14:paraId="71DE8410">
            <w:pPr>
              <w:rPr>
                <w:szCs w:val="21"/>
              </w:rPr>
            </w:pPr>
          </w:p>
        </w:tc>
        <w:tc>
          <w:tcPr>
            <w:tcW w:w="858" w:type="dxa"/>
          </w:tcPr>
          <w:p w14:paraId="249A0A7D">
            <w:pPr>
              <w:rPr>
                <w:szCs w:val="21"/>
              </w:rPr>
            </w:pPr>
          </w:p>
        </w:tc>
        <w:tc>
          <w:tcPr>
            <w:tcW w:w="972" w:type="dxa"/>
          </w:tcPr>
          <w:p w14:paraId="02A5CBEB">
            <w:pPr>
              <w:rPr>
                <w:szCs w:val="21"/>
              </w:rPr>
            </w:pPr>
          </w:p>
        </w:tc>
        <w:tc>
          <w:tcPr>
            <w:tcW w:w="972" w:type="dxa"/>
          </w:tcPr>
          <w:p w14:paraId="5FE2C4E8">
            <w:pPr>
              <w:rPr>
                <w:szCs w:val="21"/>
              </w:rPr>
            </w:pPr>
          </w:p>
        </w:tc>
      </w:tr>
      <w:tr w14:paraId="4CBA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7" w:type="dxa"/>
          </w:tcPr>
          <w:p w14:paraId="1244CA8E">
            <w:pPr>
              <w:rPr>
                <w:szCs w:val="21"/>
              </w:rPr>
            </w:pPr>
          </w:p>
        </w:tc>
        <w:tc>
          <w:tcPr>
            <w:tcW w:w="858" w:type="dxa"/>
          </w:tcPr>
          <w:p w14:paraId="57D101F7">
            <w:pPr>
              <w:rPr>
                <w:szCs w:val="21"/>
              </w:rPr>
            </w:pPr>
          </w:p>
        </w:tc>
        <w:tc>
          <w:tcPr>
            <w:tcW w:w="858" w:type="dxa"/>
          </w:tcPr>
          <w:p w14:paraId="71694804">
            <w:pPr>
              <w:rPr>
                <w:szCs w:val="21"/>
              </w:rPr>
            </w:pPr>
          </w:p>
        </w:tc>
        <w:tc>
          <w:tcPr>
            <w:tcW w:w="858" w:type="dxa"/>
          </w:tcPr>
          <w:p w14:paraId="432B4D02">
            <w:pPr>
              <w:rPr>
                <w:szCs w:val="21"/>
              </w:rPr>
            </w:pPr>
          </w:p>
        </w:tc>
        <w:tc>
          <w:tcPr>
            <w:tcW w:w="858" w:type="dxa"/>
          </w:tcPr>
          <w:p w14:paraId="5C31E432">
            <w:pPr>
              <w:rPr>
                <w:szCs w:val="21"/>
              </w:rPr>
            </w:pPr>
          </w:p>
        </w:tc>
        <w:tc>
          <w:tcPr>
            <w:tcW w:w="858" w:type="dxa"/>
          </w:tcPr>
          <w:p w14:paraId="02A00D0D">
            <w:pPr>
              <w:rPr>
                <w:szCs w:val="21"/>
              </w:rPr>
            </w:pPr>
          </w:p>
        </w:tc>
        <w:tc>
          <w:tcPr>
            <w:tcW w:w="858" w:type="dxa"/>
          </w:tcPr>
          <w:p w14:paraId="2FDC689C">
            <w:pPr>
              <w:rPr>
                <w:szCs w:val="21"/>
              </w:rPr>
            </w:pPr>
          </w:p>
        </w:tc>
        <w:tc>
          <w:tcPr>
            <w:tcW w:w="858" w:type="dxa"/>
          </w:tcPr>
          <w:p w14:paraId="18A93D9C">
            <w:pPr>
              <w:rPr>
                <w:szCs w:val="21"/>
              </w:rPr>
            </w:pPr>
          </w:p>
        </w:tc>
        <w:tc>
          <w:tcPr>
            <w:tcW w:w="972" w:type="dxa"/>
          </w:tcPr>
          <w:p w14:paraId="593FD5D4">
            <w:pPr>
              <w:rPr>
                <w:szCs w:val="21"/>
              </w:rPr>
            </w:pPr>
          </w:p>
        </w:tc>
        <w:tc>
          <w:tcPr>
            <w:tcW w:w="972" w:type="dxa"/>
          </w:tcPr>
          <w:p w14:paraId="3357681D">
            <w:pPr>
              <w:rPr>
                <w:szCs w:val="21"/>
              </w:rPr>
            </w:pPr>
          </w:p>
        </w:tc>
      </w:tr>
      <w:tr w14:paraId="4A21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7" w:type="dxa"/>
          </w:tcPr>
          <w:p w14:paraId="497B5574">
            <w:pPr>
              <w:rPr>
                <w:szCs w:val="21"/>
              </w:rPr>
            </w:pPr>
          </w:p>
        </w:tc>
        <w:tc>
          <w:tcPr>
            <w:tcW w:w="858" w:type="dxa"/>
          </w:tcPr>
          <w:p w14:paraId="3106565E">
            <w:pPr>
              <w:rPr>
                <w:szCs w:val="21"/>
              </w:rPr>
            </w:pPr>
          </w:p>
        </w:tc>
        <w:tc>
          <w:tcPr>
            <w:tcW w:w="858" w:type="dxa"/>
          </w:tcPr>
          <w:p w14:paraId="7A2D4A68">
            <w:pPr>
              <w:rPr>
                <w:szCs w:val="21"/>
              </w:rPr>
            </w:pPr>
          </w:p>
        </w:tc>
        <w:tc>
          <w:tcPr>
            <w:tcW w:w="858" w:type="dxa"/>
          </w:tcPr>
          <w:p w14:paraId="78B96C7B">
            <w:pPr>
              <w:rPr>
                <w:szCs w:val="21"/>
              </w:rPr>
            </w:pPr>
          </w:p>
        </w:tc>
        <w:tc>
          <w:tcPr>
            <w:tcW w:w="858" w:type="dxa"/>
          </w:tcPr>
          <w:p w14:paraId="13923086">
            <w:pPr>
              <w:rPr>
                <w:szCs w:val="21"/>
              </w:rPr>
            </w:pPr>
          </w:p>
        </w:tc>
        <w:tc>
          <w:tcPr>
            <w:tcW w:w="858" w:type="dxa"/>
          </w:tcPr>
          <w:p w14:paraId="44B6B300">
            <w:pPr>
              <w:rPr>
                <w:szCs w:val="21"/>
              </w:rPr>
            </w:pPr>
          </w:p>
        </w:tc>
        <w:tc>
          <w:tcPr>
            <w:tcW w:w="858" w:type="dxa"/>
          </w:tcPr>
          <w:p w14:paraId="15109218">
            <w:pPr>
              <w:rPr>
                <w:szCs w:val="21"/>
              </w:rPr>
            </w:pPr>
          </w:p>
        </w:tc>
        <w:tc>
          <w:tcPr>
            <w:tcW w:w="858" w:type="dxa"/>
          </w:tcPr>
          <w:p w14:paraId="321694A6">
            <w:pPr>
              <w:rPr>
                <w:szCs w:val="21"/>
              </w:rPr>
            </w:pPr>
          </w:p>
        </w:tc>
        <w:tc>
          <w:tcPr>
            <w:tcW w:w="972" w:type="dxa"/>
          </w:tcPr>
          <w:p w14:paraId="056ACC59">
            <w:pPr>
              <w:rPr>
                <w:szCs w:val="21"/>
              </w:rPr>
            </w:pPr>
          </w:p>
        </w:tc>
        <w:tc>
          <w:tcPr>
            <w:tcW w:w="972" w:type="dxa"/>
          </w:tcPr>
          <w:p w14:paraId="52B37FAB">
            <w:pPr>
              <w:rPr>
                <w:szCs w:val="21"/>
              </w:rPr>
            </w:pPr>
          </w:p>
        </w:tc>
      </w:tr>
      <w:tr w14:paraId="1985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7" w:type="dxa"/>
          </w:tcPr>
          <w:p w14:paraId="162A3862">
            <w:pPr>
              <w:rPr>
                <w:szCs w:val="21"/>
              </w:rPr>
            </w:pPr>
          </w:p>
        </w:tc>
        <w:tc>
          <w:tcPr>
            <w:tcW w:w="858" w:type="dxa"/>
          </w:tcPr>
          <w:p w14:paraId="020FFC98">
            <w:pPr>
              <w:rPr>
                <w:szCs w:val="21"/>
              </w:rPr>
            </w:pPr>
          </w:p>
        </w:tc>
        <w:tc>
          <w:tcPr>
            <w:tcW w:w="858" w:type="dxa"/>
          </w:tcPr>
          <w:p w14:paraId="5C6A6578">
            <w:pPr>
              <w:rPr>
                <w:szCs w:val="21"/>
              </w:rPr>
            </w:pPr>
          </w:p>
        </w:tc>
        <w:tc>
          <w:tcPr>
            <w:tcW w:w="858" w:type="dxa"/>
          </w:tcPr>
          <w:p w14:paraId="20514B33">
            <w:pPr>
              <w:rPr>
                <w:szCs w:val="21"/>
              </w:rPr>
            </w:pPr>
          </w:p>
        </w:tc>
        <w:tc>
          <w:tcPr>
            <w:tcW w:w="858" w:type="dxa"/>
          </w:tcPr>
          <w:p w14:paraId="52486191">
            <w:pPr>
              <w:rPr>
                <w:szCs w:val="21"/>
              </w:rPr>
            </w:pPr>
          </w:p>
        </w:tc>
        <w:tc>
          <w:tcPr>
            <w:tcW w:w="858" w:type="dxa"/>
          </w:tcPr>
          <w:p w14:paraId="5C61DE37">
            <w:pPr>
              <w:rPr>
                <w:szCs w:val="21"/>
              </w:rPr>
            </w:pPr>
          </w:p>
        </w:tc>
        <w:tc>
          <w:tcPr>
            <w:tcW w:w="858" w:type="dxa"/>
          </w:tcPr>
          <w:p w14:paraId="71473C4E">
            <w:pPr>
              <w:rPr>
                <w:szCs w:val="21"/>
              </w:rPr>
            </w:pPr>
          </w:p>
        </w:tc>
        <w:tc>
          <w:tcPr>
            <w:tcW w:w="858" w:type="dxa"/>
          </w:tcPr>
          <w:p w14:paraId="5E1C90F2">
            <w:pPr>
              <w:rPr>
                <w:szCs w:val="21"/>
              </w:rPr>
            </w:pPr>
          </w:p>
        </w:tc>
        <w:tc>
          <w:tcPr>
            <w:tcW w:w="972" w:type="dxa"/>
          </w:tcPr>
          <w:p w14:paraId="220E1BC8">
            <w:pPr>
              <w:rPr>
                <w:szCs w:val="21"/>
              </w:rPr>
            </w:pPr>
          </w:p>
        </w:tc>
        <w:tc>
          <w:tcPr>
            <w:tcW w:w="972" w:type="dxa"/>
          </w:tcPr>
          <w:p w14:paraId="386A9DEA">
            <w:pPr>
              <w:rPr>
                <w:szCs w:val="21"/>
              </w:rPr>
            </w:pPr>
          </w:p>
        </w:tc>
      </w:tr>
      <w:tr w14:paraId="00EC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7" w:type="dxa"/>
          </w:tcPr>
          <w:p w14:paraId="73EF4803">
            <w:pPr>
              <w:rPr>
                <w:szCs w:val="21"/>
              </w:rPr>
            </w:pPr>
          </w:p>
        </w:tc>
        <w:tc>
          <w:tcPr>
            <w:tcW w:w="858" w:type="dxa"/>
          </w:tcPr>
          <w:p w14:paraId="3799FC3B">
            <w:pPr>
              <w:rPr>
                <w:szCs w:val="21"/>
              </w:rPr>
            </w:pPr>
          </w:p>
        </w:tc>
        <w:tc>
          <w:tcPr>
            <w:tcW w:w="858" w:type="dxa"/>
          </w:tcPr>
          <w:p w14:paraId="1E8BD532">
            <w:pPr>
              <w:rPr>
                <w:szCs w:val="21"/>
              </w:rPr>
            </w:pPr>
          </w:p>
        </w:tc>
        <w:tc>
          <w:tcPr>
            <w:tcW w:w="858" w:type="dxa"/>
          </w:tcPr>
          <w:p w14:paraId="62A914DC">
            <w:pPr>
              <w:rPr>
                <w:szCs w:val="21"/>
              </w:rPr>
            </w:pPr>
          </w:p>
        </w:tc>
        <w:tc>
          <w:tcPr>
            <w:tcW w:w="858" w:type="dxa"/>
          </w:tcPr>
          <w:p w14:paraId="1E902256">
            <w:pPr>
              <w:rPr>
                <w:szCs w:val="21"/>
              </w:rPr>
            </w:pPr>
          </w:p>
        </w:tc>
        <w:tc>
          <w:tcPr>
            <w:tcW w:w="858" w:type="dxa"/>
          </w:tcPr>
          <w:p w14:paraId="2CE696A2">
            <w:pPr>
              <w:rPr>
                <w:szCs w:val="21"/>
              </w:rPr>
            </w:pPr>
          </w:p>
        </w:tc>
        <w:tc>
          <w:tcPr>
            <w:tcW w:w="858" w:type="dxa"/>
          </w:tcPr>
          <w:p w14:paraId="255AA42B">
            <w:pPr>
              <w:rPr>
                <w:szCs w:val="21"/>
              </w:rPr>
            </w:pPr>
          </w:p>
        </w:tc>
        <w:tc>
          <w:tcPr>
            <w:tcW w:w="858" w:type="dxa"/>
          </w:tcPr>
          <w:p w14:paraId="75835E0C">
            <w:pPr>
              <w:rPr>
                <w:szCs w:val="21"/>
              </w:rPr>
            </w:pPr>
          </w:p>
        </w:tc>
        <w:tc>
          <w:tcPr>
            <w:tcW w:w="972" w:type="dxa"/>
          </w:tcPr>
          <w:p w14:paraId="396F68BC">
            <w:pPr>
              <w:rPr>
                <w:szCs w:val="21"/>
              </w:rPr>
            </w:pPr>
          </w:p>
        </w:tc>
        <w:tc>
          <w:tcPr>
            <w:tcW w:w="972" w:type="dxa"/>
          </w:tcPr>
          <w:p w14:paraId="711238E3">
            <w:pPr>
              <w:rPr>
                <w:szCs w:val="21"/>
              </w:rPr>
            </w:pPr>
          </w:p>
        </w:tc>
      </w:tr>
    </w:tbl>
    <w:p w14:paraId="7091B2C3">
      <w:pPr>
        <w:rPr>
          <w:sz w:val="28"/>
          <w:szCs w:val="18"/>
        </w:rPr>
      </w:pPr>
    </w:p>
    <w:p w14:paraId="2AE27D89">
      <w:pPr>
        <w:widowControl/>
        <w:spacing w:line="360" w:lineRule="auto"/>
        <w:jc w:val="left"/>
        <w:rPr>
          <w:szCs w:val="21"/>
        </w:rPr>
      </w:pPr>
      <w:r>
        <w:rPr>
          <w:rFonts w:hint="eastAsia" w:ascii="宋体" w:hAnsi="宋体" w:cs="宋体"/>
          <w:kern w:val="0"/>
          <w:szCs w:val="21"/>
        </w:rPr>
        <w:t xml:space="preserve">注：根据评审办法及标准中商务部分具体要求提供证明材料。 </w:t>
      </w:r>
    </w:p>
    <w:p w14:paraId="36753378">
      <w:pPr>
        <w:spacing w:line="520" w:lineRule="exact"/>
        <w:ind w:firstLine="1260" w:firstLineChars="600"/>
        <w:rPr>
          <w:rFonts w:ascii="宋体" w:hAnsi="宋体" w:cs="宋体"/>
          <w:szCs w:val="21"/>
        </w:rPr>
      </w:pPr>
    </w:p>
    <w:p w14:paraId="0235DAA2">
      <w:pPr>
        <w:spacing w:line="520" w:lineRule="exac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3A8A5C5A">
      <w:pPr>
        <w:spacing w:line="52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7CFE49EB">
      <w:pPr>
        <w:spacing w:line="52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776623B">
      <w:pPr>
        <w:rPr>
          <w:sz w:val="28"/>
          <w:szCs w:val="18"/>
        </w:rPr>
      </w:pPr>
    </w:p>
    <w:p w14:paraId="508D5B88">
      <w:pPr>
        <w:rPr>
          <w:sz w:val="28"/>
          <w:szCs w:val="18"/>
        </w:rPr>
      </w:pPr>
    </w:p>
    <w:p w14:paraId="347CC0B7">
      <w:pPr>
        <w:rPr>
          <w:sz w:val="28"/>
          <w:szCs w:val="18"/>
        </w:rPr>
      </w:pPr>
      <w:bookmarkStart w:id="233" w:name="_Toc15596"/>
      <w:r>
        <w:rPr>
          <w:rFonts w:hint="eastAsia"/>
          <w:sz w:val="28"/>
          <w:szCs w:val="18"/>
        </w:rPr>
        <w:br w:type="page"/>
      </w:r>
    </w:p>
    <w:p w14:paraId="16991312">
      <w:pPr>
        <w:pStyle w:val="3"/>
        <w:numPr>
          <w:ilvl w:val="1"/>
          <w:numId w:val="0"/>
        </w:numPr>
        <w:tabs>
          <w:tab w:val="clear" w:pos="3398"/>
        </w:tabs>
        <w:rPr>
          <w:sz w:val="28"/>
          <w:szCs w:val="18"/>
        </w:rPr>
      </w:pPr>
      <w:bookmarkStart w:id="234" w:name="_Toc11087"/>
      <w:bookmarkStart w:id="235" w:name="_Toc25539"/>
      <w:r>
        <w:rPr>
          <w:rFonts w:hint="eastAsia"/>
          <w:sz w:val="28"/>
          <w:szCs w:val="18"/>
        </w:rPr>
        <w:t>八、服务承诺</w:t>
      </w:r>
      <w:bookmarkEnd w:id="233"/>
      <w:bookmarkEnd w:id="234"/>
      <w:bookmarkEnd w:id="235"/>
      <w:bookmarkStart w:id="236" w:name="_Toc16199"/>
    </w:p>
    <w:p w14:paraId="257EC53E">
      <w:pPr>
        <w:rPr>
          <w:sz w:val="28"/>
          <w:szCs w:val="18"/>
        </w:rPr>
      </w:pPr>
      <w:r>
        <w:rPr>
          <w:rFonts w:hint="eastAsia"/>
          <w:sz w:val="28"/>
          <w:szCs w:val="18"/>
        </w:rPr>
        <w:br w:type="page"/>
      </w:r>
    </w:p>
    <w:p w14:paraId="260FBE38">
      <w:pPr>
        <w:pStyle w:val="3"/>
        <w:numPr>
          <w:ilvl w:val="1"/>
          <w:numId w:val="0"/>
        </w:numPr>
        <w:tabs>
          <w:tab w:val="clear" w:pos="3398"/>
        </w:tabs>
        <w:ind w:left="2978"/>
        <w:jc w:val="both"/>
        <w:rPr>
          <w:sz w:val="28"/>
          <w:szCs w:val="18"/>
        </w:rPr>
      </w:pPr>
      <w:bookmarkStart w:id="237" w:name="_Toc23073"/>
      <w:bookmarkStart w:id="238" w:name="_Toc26292"/>
      <w:r>
        <w:rPr>
          <w:rFonts w:hint="eastAsia"/>
          <w:sz w:val="28"/>
          <w:szCs w:val="18"/>
        </w:rPr>
        <w:t>九、服务方案</w:t>
      </w:r>
      <w:bookmarkEnd w:id="230"/>
      <w:bookmarkEnd w:id="236"/>
      <w:bookmarkEnd w:id="237"/>
      <w:bookmarkEnd w:id="238"/>
      <w:r>
        <w:rPr>
          <w:rFonts w:hint="eastAsia"/>
          <w:sz w:val="28"/>
          <w:szCs w:val="18"/>
        </w:rPr>
        <w:t xml:space="preserve"> </w:t>
      </w:r>
    </w:p>
    <w:p w14:paraId="3B0B6C9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供应商可根据本次招标的项目特点及评分办法的技术部分要求，制定详细的方案和措施。包括但不限于以下内容</w:t>
      </w:r>
    </w:p>
    <w:p w14:paraId="3CAA2A4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1、人员招聘方案</w:t>
      </w:r>
    </w:p>
    <w:p w14:paraId="55FFA41B">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2、人员调配方案  </w:t>
      </w:r>
    </w:p>
    <w:p w14:paraId="340D4D5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3、日常管理方案</w:t>
      </w:r>
    </w:p>
    <w:p w14:paraId="38724F7D">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4、人员培训方案</w:t>
      </w:r>
    </w:p>
    <w:p w14:paraId="3C962D5F">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5、工资发放制度</w:t>
      </w:r>
    </w:p>
    <w:p w14:paraId="374B0446">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6、内部考核机制</w:t>
      </w:r>
    </w:p>
    <w:p w14:paraId="134BE34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7、福利保障方案</w:t>
      </w:r>
    </w:p>
    <w:p w14:paraId="070BE65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 xml:space="preserve">8、应急方案 </w:t>
      </w:r>
    </w:p>
    <w:p w14:paraId="35F9B195">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w:t>
      </w:r>
    </w:p>
    <w:bookmarkEnd w:id="213"/>
    <w:bookmarkEnd w:id="214"/>
    <w:bookmarkEnd w:id="215"/>
    <w:bookmarkEnd w:id="216"/>
    <w:bookmarkEnd w:id="217"/>
    <w:bookmarkEnd w:id="218"/>
    <w:p w14:paraId="001A7F0B">
      <w:bookmarkStart w:id="239" w:name="_Toc21311"/>
      <w:bookmarkStart w:id="240" w:name="_Toc27024"/>
      <w:r>
        <w:rPr>
          <w:rFonts w:hint="eastAsia"/>
        </w:rPr>
        <w:br w:type="page"/>
      </w:r>
    </w:p>
    <w:p w14:paraId="769A2335">
      <w:pPr>
        <w:pStyle w:val="3"/>
        <w:numPr>
          <w:ilvl w:val="1"/>
          <w:numId w:val="0"/>
        </w:numPr>
        <w:tabs>
          <w:tab w:val="clear" w:pos="3398"/>
        </w:tabs>
        <w:rPr>
          <w:sz w:val="28"/>
          <w:szCs w:val="28"/>
        </w:rPr>
      </w:pPr>
      <w:bookmarkStart w:id="241" w:name="_Toc13997"/>
      <w:bookmarkStart w:id="242" w:name="_Toc26773"/>
      <w:r>
        <w:rPr>
          <w:rFonts w:hint="eastAsia"/>
          <w:sz w:val="28"/>
          <w:szCs w:val="28"/>
        </w:rPr>
        <w:t>十、其他资料</w:t>
      </w:r>
      <w:bookmarkEnd w:id="239"/>
      <w:bookmarkEnd w:id="241"/>
      <w:bookmarkEnd w:id="242"/>
    </w:p>
    <w:bookmarkEnd w:id="240"/>
    <w:p w14:paraId="43EA0CEA">
      <w:pPr>
        <w:pStyle w:val="13"/>
        <w:wordWrap w:val="0"/>
        <w:spacing w:line="360" w:lineRule="auto"/>
        <w:ind w:firstLine="0"/>
        <w:jc w:val="center"/>
        <w:outlineLvl w:val="2"/>
        <w:rPr>
          <w:rFonts w:hint="eastAsia" w:ascii="宋体" w:hAnsi="宋体" w:eastAsia="宋体" w:cs="宋体"/>
          <w:b/>
          <w:sz w:val="24"/>
          <w:szCs w:val="24"/>
        </w:rPr>
      </w:pPr>
      <w:bookmarkStart w:id="243" w:name="_Toc24201"/>
      <w:bookmarkStart w:id="244" w:name="_Toc28594"/>
      <w:bookmarkStart w:id="245" w:name="_Toc10099"/>
      <w:r>
        <w:rPr>
          <w:rFonts w:hint="eastAsia" w:ascii="宋体" w:hAnsi="宋体" w:eastAsia="宋体" w:cs="宋体"/>
          <w:b/>
          <w:sz w:val="24"/>
          <w:szCs w:val="24"/>
          <w:lang w:val="en-US" w:eastAsia="zh-CN"/>
        </w:rPr>
        <w:t>1、</w:t>
      </w:r>
      <w:r>
        <w:rPr>
          <w:rFonts w:hint="eastAsia" w:ascii="宋体" w:hAnsi="宋体" w:eastAsia="宋体" w:cs="宋体"/>
          <w:b/>
          <w:sz w:val="24"/>
          <w:szCs w:val="24"/>
        </w:rPr>
        <w:t>采购代理服务费交纳承诺函</w:t>
      </w:r>
      <w:bookmarkEnd w:id="243"/>
      <w:bookmarkEnd w:id="244"/>
      <w:bookmarkEnd w:id="245"/>
    </w:p>
    <w:p w14:paraId="69A0E518">
      <w:pPr>
        <w:widowControl/>
        <w:spacing w:line="360" w:lineRule="auto"/>
        <w:jc w:val="left"/>
        <w:rPr>
          <w:rFonts w:ascii="宋体" w:hAnsi="宋体" w:cs="宋体"/>
          <w:szCs w:val="21"/>
        </w:rPr>
      </w:pPr>
      <w:r>
        <w:rPr>
          <w:rFonts w:hint="eastAsia" w:ascii="宋体" w:hAnsi="宋体" w:cs="宋体"/>
          <w:kern w:val="0"/>
          <w:szCs w:val="21"/>
        </w:rPr>
        <w:t xml:space="preserve">致：中建山河建设管理集团有限公司 </w:t>
      </w:r>
    </w:p>
    <w:p w14:paraId="27BBF7A9">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我们在贵公司组织的 </w:t>
      </w:r>
      <w:r>
        <w:rPr>
          <w:rFonts w:hint="eastAsia" w:ascii="宋体" w:hAnsi="宋体" w:cs="宋体"/>
          <w:kern w:val="0"/>
          <w:szCs w:val="21"/>
          <w:u w:val="single"/>
        </w:rPr>
        <w:t xml:space="preserve">河南省中医院（河南中医药大学第二附属医院）劳务派遣服务采购项目 </w:t>
      </w:r>
      <w:r>
        <w:rPr>
          <w:rFonts w:hint="eastAsia" w:ascii="宋体" w:hAnsi="宋体" w:cs="宋体"/>
          <w:kern w:val="0"/>
          <w:szCs w:val="21"/>
        </w:rPr>
        <w:t>招标采购活动中若被确定为</w:t>
      </w:r>
      <w:r>
        <w:rPr>
          <w:rFonts w:hint="eastAsia" w:ascii="宋体" w:hAnsi="宋体" w:cs="宋体"/>
          <w:kern w:val="0"/>
          <w:szCs w:val="21"/>
          <w:lang w:eastAsia="zh-CN"/>
        </w:rPr>
        <w:t>中标人</w:t>
      </w:r>
      <w:r>
        <w:rPr>
          <w:rFonts w:hint="eastAsia" w:ascii="宋体" w:hAnsi="宋体" w:cs="宋体"/>
          <w:kern w:val="0"/>
          <w:szCs w:val="21"/>
        </w:rPr>
        <w:t>，我单位保证在收到</w:t>
      </w:r>
      <w:r>
        <w:rPr>
          <w:rFonts w:hint="eastAsia" w:ascii="宋体" w:hAnsi="宋体" w:cs="宋体"/>
          <w:kern w:val="0"/>
          <w:szCs w:val="21"/>
          <w:lang w:eastAsia="zh-CN"/>
        </w:rPr>
        <w:t>中标通知书</w:t>
      </w:r>
      <w:r>
        <w:rPr>
          <w:rFonts w:hint="eastAsia" w:ascii="宋体" w:hAnsi="宋体" w:cs="宋体"/>
          <w:kern w:val="0"/>
          <w:szCs w:val="21"/>
        </w:rPr>
        <w:t>时，按招标文件的规定，以银行转账</w:t>
      </w:r>
      <w:r>
        <w:rPr>
          <w:rFonts w:hint="eastAsia" w:ascii="宋体" w:hAnsi="宋体" w:cs="宋体"/>
          <w:kern w:val="0"/>
          <w:szCs w:val="21"/>
          <w:lang w:eastAsia="zh-CN"/>
        </w:rPr>
        <w:t>方式</w:t>
      </w:r>
      <w:r>
        <w:rPr>
          <w:rFonts w:hint="eastAsia" w:ascii="宋体" w:hAnsi="宋体" w:cs="宋体"/>
          <w:kern w:val="0"/>
          <w:szCs w:val="21"/>
        </w:rPr>
        <w:t xml:space="preserve">向贵公司一次性支付采购代理服务费用。若因质疑或投诉改变中标结果的，我单位自愿放弃，由此产生的一切法律后果和责任由我单位承担。我单位声明放弃对此提出任何异议和追索的权利。 </w:t>
      </w:r>
    </w:p>
    <w:p w14:paraId="33D1C9C2">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特此承诺。 </w:t>
      </w:r>
    </w:p>
    <w:p w14:paraId="1956E98D">
      <w:pPr>
        <w:widowControl/>
        <w:spacing w:line="360" w:lineRule="auto"/>
        <w:jc w:val="left"/>
        <w:rPr>
          <w:rFonts w:ascii="宋体" w:hAnsi="宋体" w:cs="宋体"/>
          <w:kern w:val="0"/>
          <w:szCs w:val="21"/>
        </w:rPr>
      </w:pPr>
    </w:p>
    <w:p w14:paraId="75F32169">
      <w:pPr>
        <w:widowControl/>
        <w:spacing w:line="360" w:lineRule="auto"/>
        <w:jc w:val="left"/>
        <w:rPr>
          <w:rFonts w:ascii="宋体" w:hAnsi="宋体" w:cs="宋体"/>
          <w:kern w:val="0"/>
          <w:szCs w:val="21"/>
        </w:rPr>
      </w:pPr>
    </w:p>
    <w:p w14:paraId="09390F48">
      <w:pPr>
        <w:spacing w:line="520" w:lineRule="exact"/>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（单位电子印章）</w:t>
      </w:r>
    </w:p>
    <w:p w14:paraId="246A7468">
      <w:pPr>
        <w:spacing w:line="520" w:lineRule="exact"/>
        <w:ind w:firstLine="420" w:firstLineChars="20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（电子签章或签字）</w:t>
      </w:r>
    </w:p>
    <w:p w14:paraId="02276EC4">
      <w:pPr>
        <w:spacing w:line="5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1F0F0C0">
      <w:pPr>
        <w:wordWrap w:val="0"/>
        <w:spacing w:line="400" w:lineRule="exact"/>
        <w:jc w:val="left"/>
        <w:rPr>
          <w:rFonts w:ascii="宋体" w:hAnsi="宋体"/>
          <w:szCs w:val="21"/>
        </w:rPr>
      </w:pPr>
    </w:p>
    <w:p w14:paraId="16C82CD4">
      <w:r>
        <w:br w:type="page"/>
      </w:r>
    </w:p>
    <w:p w14:paraId="4CBCFFFD">
      <w:pPr>
        <w:pStyle w:val="4"/>
        <w:jc w:val="center"/>
        <w:rPr>
          <w:sz w:val="24"/>
          <w:szCs w:val="16"/>
        </w:rPr>
      </w:pPr>
      <w:bookmarkStart w:id="246" w:name="_Toc30424"/>
      <w:bookmarkStart w:id="247" w:name="_Toc2144"/>
      <w:bookmarkStart w:id="248" w:name="_Toc15760"/>
      <w:bookmarkStart w:id="249" w:name="_Toc32835909"/>
      <w:r>
        <w:rPr>
          <w:rFonts w:hint="eastAsia"/>
          <w:sz w:val="24"/>
          <w:szCs w:val="16"/>
          <w:lang w:val="en-US" w:eastAsia="zh-CN"/>
        </w:rPr>
        <w:t>2</w:t>
      </w:r>
      <w:r>
        <w:rPr>
          <w:rFonts w:hint="eastAsia"/>
          <w:sz w:val="24"/>
          <w:szCs w:val="16"/>
        </w:rPr>
        <w:t>、中小企业声明函</w:t>
      </w:r>
    </w:p>
    <w:p w14:paraId="49F116B9">
      <w:pPr>
        <w:pStyle w:val="15"/>
        <w:wordWrap w:val="0"/>
        <w:spacing w:line="360" w:lineRule="auto"/>
        <w:ind w:right="420" w:firstLine="404" w:firstLineChars="200"/>
        <w:rPr>
          <w:rFonts w:ascii="宋体" w:hAnsi="宋体" w:cs="宋体"/>
          <w:spacing w:val="-4"/>
        </w:rPr>
      </w:pPr>
      <w:r>
        <w:rPr>
          <w:rFonts w:hint="eastAsia" w:ascii="宋体" w:hAnsi="宋体" w:cs="宋体"/>
          <w:spacing w:val="-4"/>
        </w:rPr>
        <w:t xml:space="preserve">本公司（联合体）郑重声明，根据《政府采购促进中小企业发展管理办法》（财库﹝2020﹞46 号）的规定，本公司（联合体）参加 </w:t>
      </w:r>
      <w:r>
        <w:rPr>
          <w:rFonts w:hint="eastAsia" w:ascii="宋体" w:hAnsi="宋体" w:cs="宋体"/>
          <w:spacing w:val="-4"/>
          <w:u w:val="single"/>
        </w:rPr>
        <w:t xml:space="preserve">河南省中医院（河南中医药大学第二附属医院） </w:t>
      </w:r>
      <w:r>
        <w:rPr>
          <w:rFonts w:hint="eastAsia" w:ascii="宋体" w:hAnsi="宋体" w:cs="宋体"/>
          <w:spacing w:val="-4"/>
        </w:rPr>
        <w:t xml:space="preserve">的 </w:t>
      </w:r>
      <w:r>
        <w:rPr>
          <w:rFonts w:hint="eastAsia" w:ascii="宋体" w:hAnsi="宋体" w:cs="宋体"/>
          <w:spacing w:val="-4"/>
          <w:u w:val="single"/>
        </w:rPr>
        <w:t xml:space="preserve">河南省中医院（河南中医药大学第二附属医院）劳务派遣服务采购项目 </w:t>
      </w:r>
      <w:r>
        <w:rPr>
          <w:rFonts w:hint="eastAsia" w:ascii="宋体" w:hAnsi="宋体" w:cs="宋体"/>
          <w:spacing w:val="-4"/>
        </w:rPr>
        <w:t>采购活动，服务全部由符合政策要求的中小企业承接。相关企业（含联合体中的中小企业、签订分包意向协议的中小企业）的具体情况如下：</w:t>
      </w:r>
    </w:p>
    <w:p w14:paraId="043C4DC9">
      <w:pPr>
        <w:pStyle w:val="15"/>
        <w:wordWrap w:val="0"/>
        <w:spacing w:line="360" w:lineRule="auto"/>
        <w:ind w:right="420" w:firstLine="404" w:firstLineChars="200"/>
        <w:rPr>
          <w:rFonts w:ascii="宋体" w:hAnsi="宋体" w:cs="宋体"/>
          <w:spacing w:val="-4"/>
        </w:rPr>
      </w:pPr>
      <w:r>
        <w:rPr>
          <w:rFonts w:hint="eastAsia" w:ascii="宋体" w:hAnsi="宋体" w:cs="宋体"/>
          <w:spacing w:val="-4"/>
          <w:u w:val="single"/>
        </w:rPr>
        <w:t>河南省中医院（河南中医药大学第二附属医院）劳务派遣服务采购项目</w:t>
      </w:r>
      <w:r>
        <w:rPr>
          <w:rFonts w:hint="eastAsia" w:ascii="宋体" w:hAnsi="宋体" w:cs="宋体"/>
          <w:spacing w:val="-4"/>
        </w:rPr>
        <w:t>，属于</w:t>
      </w:r>
      <w:r>
        <w:rPr>
          <w:rFonts w:hint="eastAsia" w:ascii="宋体" w:hAnsi="宋体" w:cs="宋体"/>
          <w:spacing w:val="-4"/>
          <w:u w:val="single"/>
        </w:rPr>
        <w:t xml:space="preserve"> 租赁和商务服务业 </w:t>
      </w:r>
      <w:r>
        <w:rPr>
          <w:rFonts w:hint="eastAsia" w:ascii="宋体" w:hAnsi="宋体" w:cs="宋体"/>
          <w:spacing w:val="-4"/>
        </w:rPr>
        <w:t>；承接企业为</w:t>
      </w:r>
      <w:r>
        <w:rPr>
          <w:rFonts w:hint="eastAsia" w:ascii="宋体" w:hAnsi="宋体" w:cs="宋体"/>
          <w:spacing w:val="-4"/>
          <w:u w:val="single"/>
        </w:rPr>
        <w:t xml:space="preserve">  （企业名称）   </w:t>
      </w:r>
      <w:r>
        <w:rPr>
          <w:rFonts w:hint="eastAsia" w:ascii="宋体" w:hAnsi="宋体" w:cs="宋体"/>
          <w:spacing w:val="-4"/>
        </w:rPr>
        <w:t>，从业人员</w:t>
      </w:r>
      <w:r>
        <w:rPr>
          <w:rFonts w:hint="eastAsia" w:ascii="宋体" w:hAnsi="宋体" w:cs="宋体"/>
          <w:spacing w:val="-4"/>
          <w:u w:val="single"/>
        </w:rPr>
        <w:t xml:space="preserve">        </w:t>
      </w:r>
      <w:r>
        <w:rPr>
          <w:rFonts w:hint="eastAsia" w:ascii="宋体" w:hAnsi="宋体" w:cs="宋体"/>
          <w:spacing w:val="-4"/>
        </w:rPr>
        <w:t xml:space="preserve">人，营业收入为 </w:t>
      </w:r>
      <w:r>
        <w:rPr>
          <w:rFonts w:hint="eastAsia" w:ascii="宋体" w:hAnsi="宋体" w:cs="宋体"/>
          <w:spacing w:val="-4"/>
          <w:u w:val="single"/>
        </w:rPr>
        <w:t xml:space="preserve">     </w:t>
      </w:r>
      <w:r>
        <w:rPr>
          <w:rFonts w:hint="eastAsia" w:ascii="宋体" w:hAnsi="宋体" w:cs="宋体"/>
          <w:spacing w:val="-4"/>
        </w:rPr>
        <w:t>万元，资产总额为</w:t>
      </w:r>
      <w:r>
        <w:rPr>
          <w:rFonts w:hint="eastAsia" w:ascii="宋体" w:hAnsi="宋体" w:cs="宋体"/>
          <w:spacing w:val="-4"/>
          <w:u w:val="single"/>
        </w:rPr>
        <w:t xml:space="preserve">    </w:t>
      </w:r>
      <w:r>
        <w:rPr>
          <w:rFonts w:hint="eastAsia" w:ascii="宋体" w:hAnsi="宋体" w:cs="宋体"/>
          <w:spacing w:val="-4"/>
        </w:rPr>
        <w:t xml:space="preserve">万元，属于 </w:t>
      </w:r>
      <w:r>
        <w:rPr>
          <w:rFonts w:hint="eastAsia" w:ascii="宋体" w:hAnsi="宋体" w:cs="宋体"/>
          <w:spacing w:val="-4"/>
          <w:u w:val="single"/>
        </w:rPr>
        <w:t xml:space="preserve">        </w:t>
      </w:r>
      <w:r>
        <w:rPr>
          <w:rFonts w:hint="eastAsia" w:ascii="宋体" w:hAnsi="宋体" w:cs="宋体"/>
          <w:spacing w:val="-4"/>
        </w:rPr>
        <w:t>（中型企业、小型企业、微型企业）；</w:t>
      </w:r>
    </w:p>
    <w:p w14:paraId="3D09023A">
      <w:pPr>
        <w:pStyle w:val="15"/>
        <w:wordWrap w:val="0"/>
        <w:spacing w:line="360" w:lineRule="auto"/>
        <w:ind w:right="420" w:firstLine="404" w:firstLineChars="200"/>
        <w:rPr>
          <w:rFonts w:ascii="宋体" w:hAnsi="宋体" w:cs="宋体"/>
          <w:spacing w:val="-4"/>
        </w:rPr>
      </w:pPr>
      <w:r>
        <w:rPr>
          <w:rFonts w:hint="eastAsia" w:ascii="宋体" w:hAnsi="宋体" w:cs="宋体"/>
          <w:spacing w:val="-4"/>
        </w:rPr>
        <w:t>以上企业，不属于大企业的分支机构，不存在控股股东为大企业的情形，也不存在与大企业的负责人为同一人的情形。</w:t>
      </w:r>
    </w:p>
    <w:p w14:paraId="7DEA58CC">
      <w:pPr>
        <w:pStyle w:val="15"/>
        <w:wordWrap w:val="0"/>
        <w:spacing w:line="360" w:lineRule="auto"/>
        <w:ind w:right="420" w:firstLine="404" w:firstLineChars="200"/>
        <w:rPr>
          <w:rFonts w:ascii="宋体" w:hAnsi="宋体" w:cs="宋体"/>
          <w:spacing w:val="-4"/>
        </w:rPr>
      </w:pPr>
      <w:r>
        <w:rPr>
          <w:rFonts w:hint="eastAsia" w:ascii="宋体" w:hAnsi="宋体" w:cs="宋体"/>
          <w:spacing w:val="-4"/>
        </w:rPr>
        <w:t>本企业对上述声明内容的真实性负责。如有虚假，将依法承担相应责任。</w:t>
      </w:r>
    </w:p>
    <w:p w14:paraId="5819EF36">
      <w:pPr>
        <w:wordWrap w:val="0"/>
        <w:spacing w:line="360" w:lineRule="auto"/>
        <w:ind w:firstLine="3838" w:firstLineChars="1900"/>
        <w:rPr>
          <w:rFonts w:ascii="宋体" w:hAnsi="宋体" w:cs="宋体"/>
          <w:spacing w:val="-4"/>
        </w:rPr>
      </w:pPr>
      <w:r>
        <w:rPr>
          <w:rFonts w:hint="eastAsia" w:ascii="宋体" w:hAnsi="宋体" w:cs="宋体"/>
          <w:spacing w:val="-4"/>
        </w:rPr>
        <w:t>企业名称（单位电子印章）：</w:t>
      </w:r>
    </w:p>
    <w:p w14:paraId="6D2808DA">
      <w:pPr>
        <w:wordWrap w:val="0"/>
        <w:spacing w:line="360" w:lineRule="auto"/>
        <w:ind w:firstLine="3838" w:firstLineChars="1900"/>
        <w:rPr>
          <w:rFonts w:ascii="宋体" w:hAnsi="宋体" w:cs="宋体"/>
          <w:spacing w:val="-4"/>
        </w:rPr>
      </w:pPr>
      <w:r>
        <w:rPr>
          <w:rFonts w:hint="eastAsia" w:ascii="宋体" w:hAnsi="宋体" w:cs="宋体"/>
          <w:spacing w:val="-4"/>
        </w:rPr>
        <w:t>日期：</w:t>
      </w:r>
    </w:p>
    <w:p w14:paraId="6FE4A0AC">
      <w:pPr>
        <w:wordWrap w:val="0"/>
        <w:spacing w:line="360" w:lineRule="auto"/>
        <w:ind w:firstLine="482"/>
        <w:rPr>
          <w:rFonts w:ascii="宋体" w:hAnsi="宋体" w:cs="宋体"/>
          <w:b/>
          <w:szCs w:val="21"/>
        </w:rPr>
      </w:pPr>
    </w:p>
    <w:p w14:paraId="2233A78C">
      <w:pPr>
        <w:wordWrap w:val="0"/>
        <w:spacing w:line="360" w:lineRule="auto"/>
        <w:ind w:firstLine="3838" w:firstLineChars="1828"/>
        <w:rPr>
          <w:rFonts w:ascii="宋体" w:hAnsi="宋体" w:cs="宋体"/>
          <w:szCs w:val="21"/>
        </w:rPr>
      </w:pPr>
    </w:p>
    <w:p w14:paraId="424770BB">
      <w:pPr>
        <w:pStyle w:val="13"/>
        <w:wordWrap w:val="0"/>
        <w:spacing w:line="360" w:lineRule="auto"/>
        <w:ind w:firstLine="0"/>
        <w:jc w:val="left"/>
        <w:rPr>
          <w:rFonts w:ascii="宋体" w:hAnsi="宋体" w:cs="宋体"/>
          <w:bCs/>
          <w:szCs w:val="21"/>
        </w:rPr>
      </w:pPr>
      <w:r>
        <w:rPr>
          <w:rFonts w:hint="eastAsia" w:ascii="宋体" w:hAnsi="宋体" w:cs="宋体"/>
          <w:bCs/>
          <w:szCs w:val="21"/>
        </w:rPr>
        <w:t>说明：</w:t>
      </w:r>
    </w:p>
    <w:p w14:paraId="0CF2069D">
      <w:pPr>
        <w:pStyle w:val="13"/>
        <w:wordWrap w:val="0"/>
        <w:spacing w:line="360" w:lineRule="auto"/>
        <w:ind w:firstLine="0"/>
        <w:jc w:val="left"/>
        <w:rPr>
          <w:rFonts w:ascii="宋体" w:hAnsi="宋体" w:cs="宋体"/>
          <w:bCs/>
          <w:szCs w:val="21"/>
        </w:rPr>
      </w:pPr>
      <w:r>
        <w:rPr>
          <w:rFonts w:hint="eastAsia" w:ascii="宋体" w:hAnsi="宋体" w:cs="宋体"/>
          <w:bCs/>
          <w:szCs w:val="21"/>
        </w:rPr>
        <w:t>1、从业人员、营业收入、资产总额填报上一年度数据，无上一年度数据的新企业可不填报。</w:t>
      </w:r>
    </w:p>
    <w:p w14:paraId="3C8E98B6">
      <w:pPr>
        <w:pStyle w:val="13"/>
        <w:wordWrap w:val="0"/>
        <w:spacing w:line="360" w:lineRule="auto"/>
        <w:ind w:firstLine="0"/>
        <w:jc w:val="left"/>
        <w:rPr>
          <w:rFonts w:ascii="宋体" w:hAnsi="宋体" w:cs="宋体"/>
          <w:bCs/>
          <w:szCs w:val="21"/>
        </w:rPr>
      </w:pPr>
      <w:r>
        <w:rPr>
          <w:rFonts w:hint="eastAsia" w:ascii="宋体" w:hAnsi="宋体" w:cs="宋体"/>
          <w:bCs/>
          <w:szCs w:val="21"/>
        </w:rPr>
        <w:t>2、中标人如为小型和微型企业的，随中标结果公开中标人的《中小企业声明函》。投标人提供声明函内容不实的，属于提供虚假材料谋取中标。</w:t>
      </w:r>
    </w:p>
    <w:p w14:paraId="7E96C5FD">
      <w:pPr>
        <w:pStyle w:val="13"/>
        <w:wordWrap w:val="0"/>
        <w:spacing w:line="360" w:lineRule="auto"/>
        <w:ind w:firstLine="0"/>
        <w:jc w:val="left"/>
        <w:rPr>
          <w:rFonts w:ascii="宋体" w:hAnsi="宋体" w:cs="宋体"/>
          <w:b/>
          <w:szCs w:val="21"/>
        </w:rPr>
      </w:pPr>
    </w:p>
    <w:p w14:paraId="0762437B">
      <w:pPr>
        <w:pStyle w:val="13"/>
        <w:wordWrap w:val="0"/>
        <w:spacing w:line="360" w:lineRule="auto"/>
        <w:ind w:firstLine="0"/>
        <w:jc w:val="center"/>
        <w:outlineLvl w:val="2"/>
        <w:rPr>
          <w:rFonts w:ascii="宋体" w:hAnsi="宋体" w:eastAsia="宋体" w:cs="宋体"/>
          <w:b/>
          <w:sz w:val="24"/>
          <w:szCs w:val="24"/>
        </w:rPr>
      </w:pPr>
      <w:r>
        <w:rPr>
          <w:rFonts w:hint="eastAsia" w:ascii="宋体" w:hAnsi="宋体" w:cs="宋体"/>
          <w:b/>
          <w:szCs w:val="21"/>
        </w:rPr>
        <w:br w:type="page"/>
      </w:r>
      <w:r>
        <w:rPr>
          <w:rFonts w:hint="eastAsia" w:ascii="宋体" w:hAnsi="宋体" w:cs="宋体"/>
          <w:b/>
          <w:sz w:val="24"/>
          <w:szCs w:val="24"/>
          <w:lang w:val="en-US" w:eastAsia="zh-CN"/>
        </w:rPr>
        <w:t>3</w:t>
      </w:r>
      <w:r>
        <w:rPr>
          <w:rFonts w:hint="eastAsia" w:ascii="宋体" w:hAnsi="宋体" w:cs="宋体"/>
          <w:b/>
          <w:sz w:val="24"/>
          <w:szCs w:val="24"/>
        </w:rPr>
        <w:t>、</w:t>
      </w:r>
      <w:r>
        <w:rPr>
          <w:rFonts w:hint="eastAsia" w:ascii="宋体" w:hAnsi="宋体" w:eastAsia="宋体" w:cs="宋体"/>
          <w:b/>
          <w:sz w:val="24"/>
          <w:szCs w:val="24"/>
        </w:rPr>
        <w:t>残疾人福利企业声明函</w:t>
      </w:r>
    </w:p>
    <w:p w14:paraId="6A0CEC30">
      <w:pPr>
        <w:pStyle w:val="49"/>
        <w:spacing w:line="360" w:lineRule="auto"/>
        <w:ind w:firstLine="0"/>
        <w:jc w:val="center"/>
        <w:rPr>
          <w:rFonts w:ascii="宋体" w:hAnsi="宋体" w:eastAsia="宋体" w:cs="宋体"/>
          <w:bCs/>
          <w:sz w:val="24"/>
          <w:szCs w:val="24"/>
        </w:rPr>
      </w:pPr>
      <w:r>
        <w:rPr>
          <w:rFonts w:hint="eastAsia" w:ascii="宋体" w:hAnsi="宋体" w:eastAsia="宋体" w:cs="宋体"/>
          <w:bCs/>
          <w:sz w:val="24"/>
          <w:szCs w:val="24"/>
        </w:rPr>
        <w:t>（非残疾人福利企业企业无需提供）</w:t>
      </w:r>
    </w:p>
    <w:p w14:paraId="071E7977">
      <w:pPr>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项目采购活动提供本单位制造的货物</w:t>
      </w:r>
      <w:r>
        <w:rPr>
          <w:rFonts w:hint="eastAsia" w:ascii="宋体" w:hAnsi="宋体" w:cs="宋体"/>
          <w:spacing w:val="6"/>
          <w:szCs w:val="21"/>
          <w:u w:val="single"/>
        </w:rPr>
        <w:t>（由本单位承担工程/提供服务）</w:t>
      </w:r>
      <w:r>
        <w:rPr>
          <w:rFonts w:hint="eastAsia" w:ascii="宋体" w:hAnsi="宋体" w:cs="宋体"/>
          <w:spacing w:val="6"/>
          <w:szCs w:val="21"/>
        </w:rPr>
        <w:t>，或者提供其他残疾人福利性单位制造的货物</w:t>
      </w:r>
      <w:r>
        <w:rPr>
          <w:rFonts w:hint="eastAsia" w:ascii="宋体" w:hAnsi="宋体" w:cs="宋体"/>
          <w:spacing w:val="6"/>
          <w:szCs w:val="21"/>
          <w:u w:val="single"/>
        </w:rPr>
        <w:t>（不包括使用非残疾人福利性单位注册商标的货物）</w:t>
      </w:r>
      <w:r>
        <w:rPr>
          <w:rFonts w:hint="eastAsia" w:ascii="宋体" w:hAnsi="宋体" w:cs="宋体"/>
          <w:spacing w:val="6"/>
          <w:szCs w:val="21"/>
        </w:rPr>
        <w:t>。</w:t>
      </w:r>
    </w:p>
    <w:p w14:paraId="26556C68">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7E309918">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14:paraId="31259FCF">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14:paraId="50907733">
      <w:pPr>
        <w:spacing w:line="360" w:lineRule="auto"/>
        <w:rPr>
          <w:rFonts w:ascii="宋体" w:hAnsi="宋体" w:cs="宋体"/>
          <w:szCs w:val="21"/>
        </w:rPr>
      </w:pPr>
      <w:r>
        <w:rPr>
          <w:rFonts w:hint="eastAsia" w:ascii="宋体" w:hAnsi="宋体" w:cs="宋体"/>
          <w:szCs w:val="21"/>
        </w:rPr>
        <w:t>说明：</w:t>
      </w:r>
    </w:p>
    <w:p w14:paraId="247681E2">
      <w:pPr>
        <w:spacing w:line="360" w:lineRule="auto"/>
        <w:rPr>
          <w:rFonts w:ascii="宋体" w:hAnsi="宋体" w:cs="宋体"/>
          <w:szCs w:val="21"/>
        </w:rPr>
      </w:pPr>
      <w:r>
        <w:rPr>
          <w:rFonts w:hint="eastAsia" w:ascii="宋体" w:hAnsi="宋体" w:cs="宋体"/>
          <w:szCs w:val="21"/>
        </w:rPr>
        <w:t>《财政部民政部中国残疾人联合会关于促进残疾人就业政府采购政策的通知》（财库（2017〔141〕号）的规定：</w:t>
      </w:r>
    </w:p>
    <w:p w14:paraId="4C4A4D8D">
      <w:pPr>
        <w:spacing w:line="360" w:lineRule="auto"/>
        <w:ind w:firstLine="420" w:firstLineChars="200"/>
        <w:rPr>
          <w:rFonts w:ascii="宋体" w:hAnsi="宋体" w:cs="宋体"/>
          <w:szCs w:val="21"/>
        </w:rPr>
      </w:pPr>
      <w:r>
        <w:rPr>
          <w:rFonts w:hint="eastAsia" w:ascii="宋体" w:hAnsi="宋体" w:cs="宋体"/>
          <w:szCs w:val="21"/>
        </w:rPr>
        <w:t>1. 享受政府采购支持政策的残疾人福利性单位应当同时满足以下条件：</w:t>
      </w:r>
    </w:p>
    <w:p w14:paraId="371A1518">
      <w:pPr>
        <w:spacing w:line="360" w:lineRule="auto"/>
        <w:rPr>
          <w:rFonts w:ascii="宋体" w:hAnsi="宋体" w:cs="宋体"/>
          <w:szCs w:val="21"/>
        </w:rPr>
      </w:pPr>
      <w:r>
        <w:rPr>
          <w:rFonts w:hint="eastAsia" w:ascii="宋体" w:hAnsi="宋体" w:cs="宋体"/>
          <w:szCs w:val="21"/>
        </w:rPr>
        <w:t>（1）安置的残疾人占本单位在职职工人数的比例不低于25%（含25%），并且安置的残疾人人数不少于10人（含10人）；</w:t>
      </w:r>
    </w:p>
    <w:p w14:paraId="3D5E2C28">
      <w:pPr>
        <w:spacing w:line="360" w:lineRule="auto"/>
        <w:rPr>
          <w:rFonts w:ascii="宋体" w:hAnsi="宋体" w:cs="宋体"/>
          <w:szCs w:val="21"/>
        </w:rPr>
      </w:pPr>
      <w:r>
        <w:rPr>
          <w:rFonts w:hint="eastAsia" w:ascii="宋体" w:hAnsi="宋体" w:cs="宋体"/>
          <w:szCs w:val="21"/>
        </w:rPr>
        <w:t>（2）依法与安置的每位残疾人签订了一年以上（含一年）的劳动合同或服务协议；</w:t>
      </w:r>
    </w:p>
    <w:p w14:paraId="5AD15825">
      <w:pPr>
        <w:spacing w:line="360" w:lineRule="auto"/>
        <w:rPr>
          <w:rFonts w:ascii="宋体" w:hAnsi="宋体" w:cs="宋体"/>
          <w:szCs w:val="21"/>
        </w:rPr>
      </w:pPr>
      <w:r>
        <w:rPr>
          <w:rFonts w:hint="eastAsia" w:ascii="宋体" w:hAnsi="宋体" w:cs="宋体"/>
          <w:szCs w:val="21"/>
        </w:rPr>
        <w:t>（3）为安置的每位残疾人按月足额缴纳了基本养老保险、基本医疗保险、失业保险、工伤保险和生育保险等社会保险费；</w:t>
      </w:r>
    </w:p>
    <w:p w14:paraId="59629D2B">
      <w:pPr>
        <w:spacing w:line="360" w:lineRule="auto"/>
        <w:rPr>
          <w:rFonts w:ascii="宋体" w:hAnsi="宋体" w:cs="宋体"/>
          <w:szCs w:val="21"/>
        </w:rPr>
      </w:pPr>
      <w:r>
        <w:rPr>
          <w:rFonts w:hint="eastAsia" w:ascii="宋体" w:hAnsi="宋体" w:cs="宋体"/>
          <w:szCs w:val="21"/>
        </w:rPr>
        <w:t>（4）通过银行等金融机构向安置的每位残疾人，按月支付了不低于单位所在区县适用的经省级人民政府批准的月最低工资标准的工资；</w:t>
      </w:r>
    </w:p>
    <w:p w14:paraId="701B3653">
      <w:pPr>
        <w:spacing w:line="360" w:lineRule="auto"/>
        <w:rPr>
          <w:rFonts w:ascii="宋体" w:hAnsi="宋体" w:cs="宋体"/>
          <w:szCs w:val="21"/>
        </w:rPr>
      </w:pPr>
      <w:r>
        <w:rPr>
          <w:rFonts w:hint="eastAsia" w:ascii="宋体" w:hAnsi="宋体" w:cs="宋体"/>
          <w:szCs w:val="21"/>
        </w:rPr>
        <w:t>（5）提供本单位制造的货物、承担的工程或者服务（以下简称产品），或者提供其他残疾人福利性单位制造的货物（不包括使用非残疾人福利性单位注册商标的货物）。</w:t>
      </w:r>
    </w:p>
    <w:p w14:paraId="72B3D4AA">
      <w:pPr>
        <w:spacing w:line="360" w:lineRule="auto"/>
        <w:ind w:firstLine="420" w:firstLineChars="200"/>
        <w:rPr>
          <w:rFonts w:ascii="宋体" w:hAnsi="宋体" w:cs="宋体"/>
          <w:szCs w:val="21"/>
        </w:rPr>
      </w:pPr>
      <w:r>
        <w:rPr>
          <w:rFonts w:hint="eastAsia" w:ascii="宋体" w:hAnsi="宋体" w:cs="宋体"/>
          <w:szCs w:val="21"/>
        </w:rPr>
        <w:t>2. 中标人为残疾人福利性单位的，采购人或者其委托的采购代理机构应当随中标、成交结果同时公告其《残疾人福利性单位声明函》，接受社会监督。</w:t>
      </w:r>
    </w:p>
    <w:p w14:paraId="58FF6005">
      <w:pPr>
        <w:spacing w:line="360" w:lineRule="auto"/>
        <w:ind w:firstLine="420" w:firstLineChars="200"/>
        <w:rPr>
          <w:rFonts w:ascii="宋体" w:hAnsi="宋体" w:cs="宋体"/>
          <w:szCs w:val="21"/>
        </w:rPr>
      </w:pPr>
      <w:r>
        <w:rPr>
          <w:rFonts w:hint="eastAsia" w:ascii="宋体" w:hAnsi="宋体" w:cs="宋体"/>
          <w:szCs w:val="21"/>
        </w:rPr>
        <w:t>3、残疾人福利性单位属于小型、微型企业的，不重复享受政策。</w:t>
      </w:r>
    </w:p>
    <w:p w14:paraId="0B028997">
      <w:pPr>
        <w:spacing w:line="360" w:lineRule="auto"/>
        <w:ind w:firstLine="420" w:firstLineChars="200"/>
        <w:rPr>
          <w:rFonts w:ascii="宋体" w:hAnsi="宋体" w:cs="宋体"/>
          <w:szCs w:val="21"/>
        </w:rPr>
      </w:pPr>
      <w:r>
        <w:rPr>
          <w:rFonts w:hint="eastAsia" w:ascii="宋体" w:hAnsi="宋体" w:cs="宋体"/>
          <w:szCs w:val="21"/>
        </w:rPr>
        <w:t>4、提醒：如果投标人不是残疾人福利性单位，则不需要提供《残疾人福利性单位声明函》。否则，因此导致虚假投标的后果由投标人自行承担。</w:t>
      </w:r>
    </w:p>
    <w:p w14:paraId="42830E61">
      <w:pPr>
        <w:spacing w:line="360" w:lineRule="auto"/>
        <w:ind w:firstLine="422" w:firstLineChars="200"/>
        <w:rPr>
          <w:rFonts w:ascii="宋体" w:hAnsi="宋体" w:cs="宋体"/>
          <w:b/>
          <w:szCs w:val="21"/>
        </w:rPr>
      </w:pPr>
      <w:r>
        <w:rPr>
          <w:rFonts w:hint="eastAsia" w:ascii="宋体" w:hAnsi="宋体" w:cs="宋体"/>
          <w:b/>
          <w:szCs w:val="21"/>
        </w:rPr>
        <w:br w:type="page"/>
      </w:r>
    </w:p>
    <w:p w14:paraId="7FC7C00B">
      <w:pPr>
        <w:pStyle w:val="13"/>
        <w:wordWrap w:val="0"/>
        <w:spacing w:line="360" w:lineRule="auto"/>
        <w:ind w:firstLine="0"/>
        <w:jc w:val="center"/>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4、监狱企业证明文件</w:t>
      </w:r>
    </w:p>
    <w:p w14:paraId="4EF60069">
      <w:pPr>
        <w:spacing w:line="360" w:lineRule="auto"/>
        <w:ind w:firstLine="422" w:firstLineChars="200"/>
        <w:jc w:val="center"/>
        <w:rPr>
          <w:rFonts w:ascii="宋体" w:hAnsi="宋体" w:cs="宋体"/>
          <w:b/>
          <w:szCs w:val="21"/>
        </w:rPr>
      </w:pPr>
    </w:p>
    <w:p w14:paraId="7EB5F3EE">
      <w:pPr>
        <w:spacing w:line="360" w:lineRule="auto"/>
        <w:ind w:firstLine="422" w:firstLineChars="200"/>
        <w:jc w:val="center"/>
        <w:rPr>
          <w:rFonts w:ascii="宋体" w:hAnsi="宋体" w:cs="宋体"/>
          <w:b/>
          <w:szCs w:val="21"/>
        </w:rPr>
      </w:pPr>
    </w:p>
    <w:p w14:paraId="50A48017">
      <w:pPr>
        <w:spacing w:line="360" w:lineRule="auto"/>
        <w:ind w:firstLine="422" w:firstLineChars="200"/>
        <w:jc w:val="center"/>
        <w:rPr>
          <w:rFonts w:ascii="宋体" w:hAnsi="宋体" w:cs="宋体"/>
          <w:b/>
          <w:szCs w:val="21"/>
        </w:rPr>
      </w:pPr>
      <w:r>
        <w:rPr>
          <w:rFonts w:hint="eastAsia" w:ascii="宋体" w:hAnsi="宋体" w:cs="宋体"/>
          <w:b/>
          <w:szCs w:val="21"/>
        </w:rPr>
        <w:t>（非监狱企业无需提供）</w:t>
      </w:r>
    </w:p>
    <w:p w14:paraId="7DB54B47">
      <w:pPr>
        <w:spacing w:line="360" w:lineRule="auto"/>
        <w:ind w:firstLine="420" w:firstLineChars="200"/>
        <w:rPr>
          <w:rFonts w:ascii="宋体" w:hAnsi="宋体" w:cs="宋体"/>
          <w:szCs w:val="21"/>
        </w:rPr>
      </w:pPr>
      <w:r>
        <w:rPr>
          <w:rFonts w:hint="eastAsia" w:ascii="宋体" w:hAnsi="宋体" w:cs="宋体"/>
          <w:szCs w:val="21"/>
        </w:rPr>
        <w:t>监狱企业参加政府采购活动时，应当提供由省级以上监狱管理局、戒毒管理局（含新疆生产建设兵团）出具的属于监狱企业的证明文件。</w:t>
      </w:r>
    </w:p>
    <w:p w14:paraId="72ECFB0F">
      <w:pPr>
        <w:spacing w:line="360" w:lineRule="auto"/>
        <w:rPr>
          <w:rFonts w:ascii="宋体" w:hAnsi="宋体" w:cs="宋体"/>
          <w:szCs w:val="21"/>
        </w:rPr>
      </w:pPr>
    </w:p>
    <w:p w14:paraId="031F2072">
      <w:pPr>
        <w:spacing w:line="360" w:lineRule="auto"/>
        <w:rPr>
          <w:rFonts w:ascii="宋体" w:hAnsi="宋体" w:cs="宋体"/>
          <w:szCs w:val="21"/>
        </w:rPr>
      </w:pPr>
      <w:r>
        <w:rPr>
          <w:rFonts w:hint="eastAsia" w:ascii="宋体" w:hAnsi="宋体" w:cs="宋体"/>
          <w:szCs w:val="21"/>
        </w:rPr>
        <w:t xml:space="preserve">说明： </w:t>
      </w:r>
    </w:p>
    <w:p w14:paraId="54ECF7A6">
      <w:pPr>
        <w:spacing w:line="360" w:lineRule="auto"/>
        <w:ind w:firstLine="420" w:firstLineChars="200"/>
        <w:rPr>
          <w:rFonts w:ascii="宋体" w:hAnsi="宋体" w:cs="宋体"/>
          <w:szCs w:val="21"/>
        </w:rPr>
      </w:pPr>
      <w:r>
        <w:rPr>
          <w:rFonts w:hint="eastAsia" w:ascii="宋体" w:hAnsi="宋体" w:cs="宋体"/>
          <w:szCs w:val="21"/>
        </w:rPr>
        <w:t>1、监狱企业属于小型、微型企业的，不重复享受政策。</w:t>
      </w:r>
    </w:p>
    <w:p w14:paraId="64D748F4">
      <w:pPr>
        <w:spacing w:line="360" w:lineRule="auto"/>
        <w:ind w:firstLine="420" w:firstLineChars="200"/>
        <w:rPr>
          <w:rFonts w:ascii="宋体" w:hAnsi="宋体" w:cs="宋体"/>
          <w:szCs w:val="21"/>
        </w:rPr>
      </w:pPr>
      <w:r>
        <w:rPr>
          <w:rFonts w:hint="eastAsia" w:ascii="宋体" w:hAnsi="宋体" w:cs="宋体"/>
          <w:szCs w:val="21"/>
        </w:rPr>
        <w:t>2、提醒：如果投标人不是监狱企业，则不需要提供监狱企业证明文件。否则，因此导致虚假投标的后果由投标人自行承担。</w:t>
      </w:r>
    </w:p>
    <w:p w14:paraId="47358520">
      <w:pPr>
        <w:jc w:val="center"/>
        <w:rPr>
          <w:sz w:val="24"/>
          <w:szCs w:val="16"/>
        </w:rPr>
      </w:pPr>
      <w:r>
        <w:rPr>
          <w:rFonts w:hint="eastAsia"/>
          <w:sz w:val="24"/>
          <w:szCs w:val="16"/>
        </w:rPr>
        <w:br w:type="page"/>
      </w:r>
    </w:p>
    <w:p w14:paraId="280F0801">
      <w:pPr>
        <w:pStyle w:val="13"/>
        <w:wordWrap w:val="0"/>
        <w:spacing w:line="360" w:lineRule="auto"/>
        <w:ind w:firstLine="0"/>
        <w:jc w:val="center"/>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5、供应商认为需要提交的其他证明材料</w:t>
      </w:r>
      <w:bookmarkEnd w:id="246"/>
      <w:bookmarkEnd w:id="247"/>
      <w:bookmarkEnd w:id="248"/>
      <w:bookmarkEnd w:id="249"/>
    </w:p>
    <w:sectPr>
      <w:footerReference r:id="rId7" w:type="first"/>
      <w:headerReference r:id="rId5" w:type="default"/>
      <w:footerReference r:id="rId6" w:type="default"/>
      <w:pgSz w:w="11905" w:h="16838"/>
      <w:pgMar w:top="1417" w:right="1417" w:bottom="1417" w:left="1474" w:header="680" w:footer="680"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INMAB J+ Univers">
    <w:altName w:val="黑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楷体">
    <w:altName w:val="黑体"/>
    <w:panose1 w:val="00000000000000000000"/>
    <w:charset w:val="86"/>
    <w:family w:val="modern"/>
    <w:pitch w:val="default"/>
    <w:sig w:usb0="00000000" w:usb1="00000000" w:usb2="00000010" w:usb3="00000000" w:csb0="00040008"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A223">
    <w:pPr>
      <w:pStyle w:val="30"/>
      <w:tabs>
        <w:tab w:val="left" w:pos="9180"/>
        <w:tab w:val="right" w:pos="9360"/>
        <w:tab w:val="clear" w:pos="8306"/>
      </w:tabs>
      <w:ind w:right="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D752">
    <w:pPr>
      <w:pBdr>
        <w:top w:val="thinThickSmallGap" w:color="8B2C4C" w:sz="12" w:space="1"/>
        <w:left w:val="none" w:color="auto" w:sz="0" w:space="4"/>
        <w:bottom w:val="none" w:color="auto" w:sz="0" w:space="1"/>
        <w:right w:val="none" w:color="auto" w:sz="0" w:space="4"/>
      </w:pBdr>
      <w:spacing w:line="171" w:lineRule="auto"/>
      <w:rPr>
        <w:rFonts w:ascii="Times New Roman" w:hAnsi="Times New Roman" w:eastAsia="Times New Roman"/>
        <w:sz w:val="18"/>
        <w:szCs w:val="18"/>
      </w:rPr>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76F40781">
                <w:pPr>
                  <w:pStyle w:val="30"/>
                </w:pPr>
                <w:r>
                  <w:fldChar w:fldCharType="begin"/>
                </w:r>
                <w:r>
                  <w:instrText xml:space="preserve"> PAGE  \* MERGEFORMAT </w:instrText>
                </w:r>
                <w:r>
                  <w:fldChar w:fldCharType="separate"/>
                </w:r>
                <w:r>
                  <w:t>- 71 -</w:t>
                </w:r>
                <w:r>
                  <w:fldChar w:fldCharType="end"/>
                </w:r>
              </w:p>
            </w:txbxContent>
          </v:textbox>
        </v:shape>
      </w:pict>
    </w:r>
    <w:r>
      <w:rPr>
        <w:rFonts w:hint="eastAsia" w:ascii="Times New Roman" w:hAnsi="Times New Roman"/>
        <w:sz w:val="18"/>
        <w:szCs w:val="18"/>
      </w:rPr>
      <w:t>中建山河建设管理集团有限公司                                                        0371-86556161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4097">
    <w:pPr>
      <w:pStyle w:val="30"/>
      <w:pBdr>
        <w:top w:val="single" w:color="auto" w:sz="4" w:space="1"/>
      </w:pBd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path/>
          <v:fill on="f" focussize="0,0"/>
          <v:stroke on="f" weight="0.5pt" joinstyle="miter"/>
          <v:imagedata o:title=""/>
          <o:lock v:ext="edit"/>
          <v:textbox inset="0mm,0mm,0mm,0mm" style="mso-fit-shape-to-text:t;">
            <w:txbxContent>
              <w:p w14:paraId="50465638">
                <w:pPr>
                  <w:pStyle w:val="30"/>
                </w:pPr>
                <w:r>
                  <w:fldChar w:fldCharType="begin"/>
                </w:r>
                <w:r>
                  <w:instrText xml:space="preserve"> PAGE  \* MERGEFORMAT </w:instrText>
                </w:r>
                <w:r>
                  <w:fldChar w:fldCharType="separate"/>
                </w:r>
                <w: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437C">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5A2C">
    <w:pPr>
      <w:pStyle w:val="32"/>
      <w:pBdr>
        <w:bottom w:val="thickThinSmallGap" w:color="800000" w:sz="12" w:space="1"/>
      </w:pBdr>
      <w:jc w:val="left"/>
    </w:pPr>
    <w:r>
      <w:rPr>
        <w:rFonts w:hint="eastAsia"/>
      </w:rPr>
      <w:t>河南省中医院（河南中医药大学第二附属医院）劳务派遣服务采购项目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8FEEC"/>
    <w:multiLevelType w:val="singleLevel"/>
    <w:tmpl w:val="BD28FEEC"/>
    <w:lvl w:ilvl="0" w:tentative="0">
      <w:start w:val="2"/>
      <w:numFmt w:val="decimal"/>
      <w:suff w:val="nothing"/>
      <w:lvlText w:val="（%1）"/>
      <w:lvlJc w:val="left"/>
    </w:lvl>
  </w:abstractNum>
  <w:abstractNum w:abstractNumId="1">
    <w:nsid w:val="D53973B6"/>
    <w:multiLevelType w:val="singleLevel"/>
    <w:tmpl w:val="D53973B6"/>
    <w:lvl w:ilvl="0" w:tentative="0">
      <w:start w:val="1"/>
      <w:numFmt w:val="decimal"/>
      <w:suff w:val="nothing"/>
      <w:lvlText w:val="%1、"/>
      <w:lvlJc w:val="left"/>
    </w:lvl>
  </w:abstractNum>
  <w:abstractNum w:abstractNumId="2">
    <w:nsid w:val="D6AF0DC9"/>
    <w:multiLevelType w:val="singleLevel"/>
    <w:tmpl w:val="D6AF0DC9"/>
    <w:lvl w:ilvl="0" w:tentative="0">
      <w:start w:val="1"/>
      <w:numFmt w:val="decimal"/>
      <w:lvlText w:val="%1."/>
      <w:lvlJc w:val="left"/>
      <w:pPr>
        <w:tabs>
          <w:tab w:val="left" w:pos="312"/>
        </w:tabs>
      </w:pPr>
    </w:lvl>
  </w:abstractNum>
  <w:abstractNum w:abstractNumId="3">
    <w:nsid w:val="0BCD640A"/>
    <w:multiLevelType w:val="multilevel"/>
    <w:tmpl w:val="0BCD640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3398"/>
        </w:tabs>
        <w:ind w:left="3398"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6CFB6A"/>
    <w:multiLevelType w:val="singleLevel"/>
    <w:tmpl w:val="766CFB6A"/>
    <w:lvl w:ilvl="0" w:tentative="0">
      <w:start w:val="5"/>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QzMjAzZGIyZWZkMzgyZWM3OGFkNzkwYzU2NGMyODEifQ=="/>
    <w:docVar w:name="KSO_WPS_MARK_KEY" w:val="826add30-94aa-4e44-80ca-008e77201f56"/>
  </w:docVars>
  <w:rsids>
    <w:rsidRoot w:val="00172A27"/>
    <w:rsid w:val="00000B2C"/>
    <w:rsid w:val="0000114C"/>
    <w:rsid w:val="00001A92"/>
    <w:rsid w:val="000021EC"/>
    <w:rsid w:val="00002D9A"/>
    <w:rsid w:val="00003D35"/>
    <w:rsid w:val="00003FD9"/>
    <w:rsid w:val="000043A4"/>
    <w:rsid w:val="00006D23"/>
    <w:rsid w:val="00010D2C"/>
    <w:rsid w:val="00010E32"/>
    <w:rsid w:val="000110C5"/>
    <w:rsid w:val="0001194A"/>
    <w:rsid w:val="00011A00"/>
    <w:rsid w:val="00011A9C"/>
    <w:rsid w:val="00012911"/>
    <w:rsid w:val="000129AA"/>
    <w:rsid w:val="00012DDD"/>
    <w:rsid w:val="000137BC"/>
    <w:rsid w:val="00014211"/>
    <w:rsid w:val="000144AB"/>
    <w:rsid w:val="000148A6"/>
    <w:rsid w:val="0001493F"/>
    <w:rsid w:val="00015321"/>
    <w:rsid w:val="00015A04"/>
    <w:rsid w:val="00016682"/>
    <w:rsid w:val="00016C7A"/>
    <w:rsid w:val="0001756E"/>
    <w:rsid w:val="000207AA"/>
    <w:rsid w:val="00020F21"/>
    <w:rsid w:val="00021608"/>
    <w:rsid w:val="000229FB"/>
    <w:rsid w:val="00022BA0"/>
    <w:rsid w:val="0002315E"/>
    <w:rsid w:val="000239BC"/>
    <w:rsid w:val="00023E09"/>
    <w:rsid w:val="000247AB"/>
    <w:rsid w:val="00024944"/>
    <w:rsid w:val="000253FC"/>
    <w:rsid w:val="000256D2"/>
    <w:rsid w:val="00025ECF"/>
    <w:rsid w:val="0002717F"/>
    <w:rsid w:val="00027C0D"/>
    <w:rsid w:val="00027E72"/>
    <w:rsid w:val="000303C6"/>
    <w:rsid w:val="0003087D"/>
    <w:rsid w:val="00031E94"/>
    <w:rsid w:val="00031EB2"/>
    <w:rsid w:val="0003232E"/>
    <w:rsid w:val="00032520"/>
    <w:rsid w:val="00032529"/>
    <w:rsid w:val="00032EA7"/>
    <w:rsid w:val="000331D3"/>
    <w:rsid w:val="000335B6"/>
    <w:rsid w:val="00033B62"/>
    <w:rsid w:val="00034B0F"/>
    <w:rsid w:val="000359C4"/>
    <w:rsid w:val="00035B4F"/>
    <w:rsid w:val="00035EEB"/>
    <w:rsid w:val="000376EC"/>
    <w:rsid w:val="00037899"/>
    <w:rsid w:val="00040298"/>
    <w:rsid w:val="00040452"/>
    <w:rsid w:val="0004056F"/>
    <w:rsid w:val="000410A3"/>
    <w:rsid w:val="0004187E"/>
    <w:rsid w:val="00042439"/>
    <w:rsid w:val="000432F2"/>
    <w:rsid w:val="00043A76"/>
    <w:rsid w:val="0004498E"/>
    <w:rsid w:val="00044CE9"/>
    <w:rsid w:val="00044E3F"/>
    <w:rsid w:val="00044EA2"/>
    <w:rsid w:val="00046317"/>
    <w:rsid w:val="000463BE"/>
    <w:rsid w:val="00046ABA"/>
    <w:rsid w:val="000474F3"/>
    <w:rsid w:val="00047BD1"/>
    <w:rsid w:val="000504B5"/>
    <w:rsid w:val="00050A5A"/>
    <w:rsid w:val="00051187"/>
    <w:rsid w:val="00052119"/>
    <w:rsid w:val="00052B63"/>
    <w:rsid w:val="00052C2D"/>
    <w:rsid w:val="00052E54"/>
    <w:rsid w:val="00052FD0"/>
    <w:rsid w:val="00053630"/>
    <w:rsid w:val="00053A90"/>
    <w:rsid w:val="00054FA6"/>
    <w:rsid w:val="00055C6B"/>
    <w:rsid w:val="00056A10"/>
    <w:rsid w:val="00056C78"/>
    <w:rsid w:val="0005716E"/>
    <w:rsid w:val="00057F8E"/>
    <w:rsid w:val="000609B5"/>
    <w:rsid w:val="0006136C"/>
    <w:rsid w:val="000620C3"/>
    <w:rsid w:val="000639EE"/>
    <w:rsid w:val="00063C09"/>
    <w:rsid w:val="00064EF3"/>
    <w:rsid w:val="00065973"/>
    <w:rsid w:val="0006635F"/>
    <w:rsid w:val="000667A3"/>
    <w:rsid w:val="00066EA6"/>
    <w:rsid w:val="00070417"/>
    <w:rsid w:val="00071275"/>
    <w:rsid w:val="000712B9"/>
    <w:rsid w:val="00071346"/>
    <w:rsid w:val="00071B43"/>
    <w:rsid w:val="00071E61"/>
    <w:rsid w:val="000721C1"/>
    <w:rsid w:val="00072F0D"/>
    <w:rsid w:val="00073828"/>
    <w:rsid w:val="00074878"/>
    <w:rsid w:val="00074D9D"/>
    <w:rsid w:val="000753F7"/>
    <w:rsid w:val="00075CC4"/>
    <w:rsid w:val="00076219"/>
    <w:rsid w:val="00076540"/>
    <w:rsid w:val="000768E1"/>
    <w:rsid w:val="0007691D"/>
    <w:rsid w:val="00076C73"/>
    <w:rsid w:val="00077B91"/>
    <w:rsid w:val="00080C78"/>
    <w:rsid w:val="00081241"/>
    <w:rsid w:val="000820CA"/>
    <w:rsid w:val="00082506"/>
    <w:rsid w:val="00082704"/>
    <w:rsid w:val="00082BDD"/>
    <w:rsid w:val="00082CC8"/>
    <w:rsid w:val="0008450A"/>
    <w:rsid w:val="00084FEA"/>
    <w:rsid w:val="00085A6C"/>
    <w:rsid w:val="000864F9"/>
    <w:rsid w:val="00086F91"/>
    <w:rsid w:val="00087201"/>
    <w:rsid w:val="00087851"/>
    <w:rsid w:val="00087E57"/>
    <w:rsid w:val="0009025C"/>
    <w:rsid w:val="00090D11"/>
    <w:rsid w:val="00090EA2"/>
    <w:rsid w:val="0009217E"/>
    <w:rsid w:val="00092627"/>
    <w:rsid w:val="00092815"/>
    <w:rsid w:val="00092F48"/>
    <w:rsid w:val="00093025"/>
    <w:rsid w:val="000938D0"/>
    <w:rsid w:val="00093CB8"/>
    <w:rsid w:val="00093F97"/>
    <w:rsid w:val="00094C26"/>
    <w:rsid w:val="00095256"/>
    <w:rsid w:val="00096341"/>
    <w:rsid w:val="0009647A"/>
    <w:rsid w:val="000969D8"/>
    <w:rsid w:val="0009753E"/>
    <w:rsid w:val="000978B1"/>
    <w:rsid w:val="00097D86"/>
    <w:rsid w:val="000A0759"/>
    <w:rsid w:val="000A0FBB"/>
    <w:rsid w:val="000A1DD2"/>
    <w:rsid w:val="000A2CB0"/>
    <w:rsid w:val="000A2CD9"/>
    <w:rsid w:val="000A37CC"/>
    <w:rsid w:val="000A3E1A"/>
    <w:rsid w:val="000A4C73"/>
    <w:rsid w:val="000A4E81"/>
    <w:rsid w:val="000A70CB"/>
    <w:rsid w:val="000A7178"/>
    <w:rsid w:val="000A74EE"/>
    <w:rsid w:val="000A752E"/>
    <w:rsid w:val="000A79B2"/>
    <w:rsid w:val="000A7BE0"/>
    <w:rsid w:val="000B1238"/>
    <w:rsid w:val="000B13EF"/>
    <w:rsid w:val="000B15C0"/>
    <w:rsid w:val="000B16E2"/>
    <w:rsid w:val="000B190D"/>
    <w:rsid w:val="000B1CCA"/>
    <w:rsid w:val="000B1EED"/>
    <w:rsid w:val="000B316B"/>
    <w:rsid w:val="000B34C5"/>
    <w:rsid w:val="000B374D"/>
    <w:rsid w:val="000B3A13"/>
    <w:rsid w:val="000B49AA"/>
    <w:rsid w:val="000B49BA"/>
    <w:rsid w:val="000B4E4E"/>
    <w:rsid w:val="000B523D"/>
    <w:rsid w:val="000B56DD"/>
    <w:rsid w:val="000B6A44"/>
    <w:rsid w:val="000B75DE"/>
    <w:rsid w:val="000B7A16"/>
    <w:rsid w:val="000C00D6"/>
    <w:rsid w:val="000C293B"/>
    <w:rsid w:val="000C4758"/>
    <w:rsid w:val="000C570E"/>
    <w:rsid w:val="000C5968"/>
    <w:rsid w:val="000C5D04"/>
    <w:rsid w:val="000C64F1"/>
    <w:rsid w:val="000C6CD5"/>
    <w:rsid w:val="000D00E0"/>
    <w:rsid w:val="000D0967"/>
    <w:rsid w:val="000D0DD2"/>
    <w:rsid w:val="000D172D"/>
    <w:rsid w:val="000D1987"/>
    <w:rsid w:val="000D1A3A"/>
    <w:rsid w:val="000D2732"/>
    <w:rsid w:val="000D4A66"/>
    <w:rsid w:val="000D518A"/>
    <w:rsid w:val="000D51FE"/>
    <w:rsid w:val="000D5CCA"/>
    <w:rsid w:val="000D66C8"/>
    <w:rsid w:val="000D6E96"/>
    <w:rsid w:val="000D72E0"/>
    <w:rsid w:val="000D7332"/>
    <w:rsid w:val="000D7E9A"/>
    <w:rsid w:val="000E0096"/>
    <w:rsid w:val="000E0C53"/>
    <w:rsid w:val="000E0FEB"/>
    <w:rsid w:val="000E1FAF"/>
    <w:rsid w:val="000E2C16"/>
    <w:rsid w:val="000E2D06"/>
    <w:rsid w:val="000E2F47"/>
    <w:rsid w:val="000E3082"/>
    <w:rsid w:val="000E3A0C"/>
    <w:rsid w:val="000E4CB6"/>
    <w:rsid w:val="000E617C"/>
    <w:rsid w:val="000E6E54"/>
    <w:rsid w:val="000E760F"/>
    <w:rsid w:val="000E7EF6"/>
    <w:rsid w:val="000F01AC"/>
    <w:rsid w:val="000F18BB"/>
    <w:rsid w:val="000F1948"/>
    <w:rsid w:val="000F1C54"/>
    <w:rsid w:val="000F25FE"/>
    <w:rsid w:val="000F28C2"/>
    <w:rsid w:val="000F29BF"/>
    <w:rsid w:val="000F2C75"/>
    <w:rsid w:val="000F3324"/>
    <w:rsid w:val="000F33D0"/>
    <w:rsid w:val="000F347D"/>
    <w:rsid w:val="000F461D"/>
    <w:rsid w:val="000F621E"/>
    <w:rsid w:val="000F662E"/>
    <w:rsid w:val="000F6781"/>
    <w:rsid w:val="000F761C"/>
    <w:rsid w:val="000F79DA"/>
    <w:rsid w:val="000F7C15"/>
    <w:rsid w:val="00100E60"/>
    <w:rsid w:val="0010112B"/>
    <w:rsid w:val="00101B60"/>
    <w:rsid w:val="00101F0B"/>
    <w:rsid w:val="00102B6D"/>
    <w:rsid w:val="001039AB"/>
    <w:rsid w:val="00104024"/>
    <w:rsid w:val="00104115"/>
    <w:rsid w:val="00104430"/>
    <w:rsid w:val="00104534"/>
    <w:rsid w:val="00104CB0"/>
    <w:rsid w:val="001069D6"/>
    <w:rsid w:val="00106D49"/>
    <w:rsid w:val="00107073"/>
    <w:rsid w:val="001070CE"/>
    <w:rsid w:val="0011021D"/>
    <w:rsid w:val="00110B7C"/>
    <w:rsid w:val="0011106B"/>
    <w:rsid w:val="001114AE"/>
    <w:rsid w:val="0011254D"/>
    <w:rsid w:val="0011293D"/>
    <w:rsid w:val="00112AED"/>
    <w:rsid w:val="00112F6C"/>
    <w:rsid w:val="001139AD"/>
    <w:rsid w:val="00113F90"/>
    <w:rsid w:val="001143BB"/>
    <w:rsid w:val="0011527F"/>
    <w:rsid w:val="001154A5"/>
    <w:rsid w:val="00115A91"/>
    <w:rsid w:val="001161E9"/>
    <w:rsid w:val="001163F6"/>
    <w:rsid w:val="00116BAF"/>
    <w:rsid w:val="00117FE3"/>
    <w:rsid w:val="00120059"/>
    <w:rsid w:val="001207B2"/>
    <w:rsid w:val="0012104C"/>
    <w:rsid w:val="0012123B"/>
    <w:rsid w:val="00121426"/>
    <w:rsid w:val="00121C97"/>
    <w:rsid w:val="00121D9C"/>
    <w:rsid w:val="00121E0F"/>
    <w:rsid w:val="00122F9A"/>
    <w:rsid w:val="0012400D"/>
    <w:rsid w:val="0012460E"/>
    <w:rsid w:val="00125261"/>
    <w:rsid w:val="0012644B"/>
    <w:rsid w:val="001273A2"/>
    <w:rsid w:val="00127716"/>
    <w:rsid w:val="00127914"/>
    <w:rsid w:val="001303B8"/>
    <w:rsid w:val="00131766"/>
    <w:rsid w:val="00131D33"/>
    <w:rsid w:val="001324FE"/>
    <w:rsid w:val="00132A99"/>
    <w:rsid w:val="00132BD0"/>
    <w:rsid w:val="0013307D"/>
    <w:rsid w:val="00133D3D"/>
    <w:rsid w:val="00133E2E"/>
    <w:rsid w:val="00134111"/>
    <w:rsid w:val="0013436F"/>
    <w:rsid w:val="001343A6"/>
    <w:rsid w:val="0013581A"/>
    <w:rsid w:val="001365AD"/>
    <w:rsid w:val="00136CA4"/>
    <w:rsid w:val="00136DC9"/>
    <w:rsid w:val="00137402"/>
    <w:rsid w:val="00137502"/>
    <w:rsid w:val="0013778D"/>
    <w:rsid w:val="00140650"/>
    <w:rsid w:val="001413E0"/>
    <w:rsid w:val="00141933"/>
    <w:rsid w:val="0014230A"/>
    <w:rsid w:val="00142471"/>
    <w:rsid w:val="00142592"/>
    <w:rsid w:val="00142B3D"/>
    <w:rsid w:val="00142EA1"/>
    <w:rsid w:val="00145272"/>
    <w:rsid w:val="00145348"/>
    <w:rsid w:val="001453E3"/>
    <w:rsid w:val="001462F1"/>
    <w:rsid w:val="001468FD"/>
    <w:rsid w:val="001469E9"/>
    <w:rsid w:val="00146DBC"/>
    <w:rsid w:val="001502FD"/>
    <w:rsid w:val="0015037A"/>
    <w:rsid w:val="001507A9"/>
    <w:rsid w:val="00150B2F"/>
    <w:rsid w:val="00151B14"/>
    <w:rsid w:val="00151DCD"/>
    <w:rsid w:val="00152289"/>
    <w:rsid w:val="00152293"/>
    <w:rsid w:val="00152966"/>
    <w:rsid w:val="00152F23"/>
    <w:rsid w:val="0015569A"/>
    <w:rsid w:val="00155B9E"/>
    <w:rsid w:val="00156254"/>
    <w:rsid w:val="001604E6"/>
    <w:rsid w:val="00161649"/>
    <w:rsid w:val="00163E24"/>
    <w:rsid w:val="00164453"/>
    <w:rsid w:val="00165676"/>
    <w:rsid w:val="00167379"/>
    <w:rsid w:val="00167380"/>
    <w:rsid w:val="001679C8"/>
    <w:rsid w:val="001726EF"/>
    <w:rsid w:val="00172997"/>
    <w:rsid w:val="00172A27"/>
    <w:rsid w:val="00172D1C"/>
    <w:rsid w:val="00172FDD"/>
    <w:rsid w:val="00173ED3"/>
    <w:rsid w:val="0017436A"/>
    <w:rsid w:val="001745BE"/>
    <w:rsid w:val="0017746C"/>
    <w:rsid w:val="00177B10"/>
    <w:rsid w:val="00180C91"/>
    <w:rsid w:val="00180F1C"/>
    <w:rsid w:val="00181880"/>
    <w:rsid w:val="00181881"/>
    <w:rsid w:val="00182411"/>
    <w:rsid w:val="0018323F"/>
    <w:rsid w:val="001835FD"/>
    <w:rsid w:val="0018366C"/>
    <w:rsid w:val="00183D73"/>
    <w:rsid w:val="00184895"/>
    <w:rsid w:val="001849C9"/>
    <w:rsid w:val="00185199"/>
    <w:rsid w:val="0018524D"/>
    <w:rsid w:val="001856CB"/>
    <w:rsid w:val="00187970"/>
    <w:rsid w:val="00187A5E"/>
    <w:rsid w:val="001910EF"/>
    <w:rsid w:val="001916CB"/>
    <w:rsid w:val="00192586"/>
    <w:rsid w:val="00193051"/>
    <w:rsid w:val="00193069"/>
    <w:rsid w:val="00193FC4"/>
    <w:rsid w:val="00195206"/>
    <w:rsid w:val="0019591B"/>
    <w:rsid w:val="0019593A"/>
    <w:rsid w:val="001960D8"/>
    <w:rsid w:val="0019611F"/>
    <w:rsid w:val="0019649E"/>
    <w:rsid w:val="0019784F"/>
    <w:rsid w:val="0019790A"/>
    <w:rsid w:val="001A0A92"/>
    <w:rsid w:val="001A0D50"/>
    <w:rsid w:val="001A18CB"/>
    <w:rsid w:val="001A1CC7"/>
    <w:rsid w:val="001A3B6F"/>
    <w:rsid w:val="001A4737"/>
    <w:rsid w:val="001A4772"/>
    <w:rsid w:val="001A48CF"/>
    <w:rsid w:val="001A4A0B"/>
    <w:rsid w:val="001A5C2D"/>
    <w:rsid w:val="001A6211"/>
    <w:rsid w:val="001A6216"/>
    <w:rsid w:val="001A686A"/>
    <w:rsid w:val="001A6999"/>
    <w:rsid w:val="001B1093"/>
    <w:rsid w:val="001B18C8"/>
    <w:rsid w:val="001B1FFB"/>
    <w:rsid w:val="001B2118"/>
    <w:rsid w:val="001B2F79"/>
    <w:rsid w:val="001B3810"/>
    <w:rsid w:val="001B435C"/>
    <w:rsid w:val="001B5186"/>
    <w:rsid w:val="001B619A"/>
    <w:rsid w:val="001B6941"/>
    <w:rsid w:val="001B6AA7"/>
    <w:rsid w:val="001C0A5D"/>
    <w:rsid w:val="001C0AF8"/>
    <w:rsid w:val="001C0FB2"/>
    <w:rsid w:val="001C122F"/>
    <w:rsid w:val="001C1320"/>
    <w:rsid w:val="001C152A"/>
    <w:rsid w:val="001C168E"/>
    <w:rsid w:val="001C32D3"/>
    <w:rsid w:val="001C3D13"/>
    <w:rsid w:val="001C3EDA"/>
    <w:rsid w:val="001C4181"/>
    <w:rsid w:val="001C4225"/>
    <w:rsid w:val="001C4FD6"/>
    <w:rsid w:val="001C56D0"/>
    <w:rsid w:val="001C56D4"/>
    <w:rsid w:val="001C58CF"/>
    <w:rsid w:val="001C5BB8"/>
    <w:rsid w:val="001C5C61"/>
    <w:rsid w:val="001C6CCF"/>
    <w:rsid w:val="001C722D"/>
    <w:rsid w:val="001C7248"/>
    <w:rsid w:val="001C72F0"/>
    <w:rsid w:val="001C732D"/>
    <w:rsid w:val="001C7D85"/>
    <w:rsid w:val="001D0105"/>
    <w:rsid w:val="001D219C"/>
    <w:rsid w:val="001D26DB"/>
    <w:rsid w:val="001D2712"/>
    <w:rsid w:val="001D2A25"/>
    <w:rsid w:val="001D2C2A"/>
    <w:rsid w:val="001D42FD"/>
    <w:rsid w:val="001D4C47"/>
    <w:rsid w:val="001D5C3A"/>
    <w:rsid w:val="001D64C7"/>
    <w:rsid w:val="001D746F"/>
    <w:rsid w:val="001D7F84"/>
    <w:rsid w:val="001E289E"/>
    <w:rsid w:val="001E29EE"/>
    <w:rsid w:val="001E2AE1"/>
    <w:rsid w:val="001E2BD1"/>
    <w:rsid w:val="001E2C85"/>
    <w:rsid w:val="001E2D08"/>
    <w:rsid w:val="001E2D85"/>
    <w:rsid w:val="001E2D86"/>
    <w:rsid w:val="001E3351"/>
    <w:rsid w:val="001E38E1"/>
    <w:rsid w:val="001E41D4"/>
    <w:rsid w:val="001E4C3B"/>
    <w:rsid w:val="001E4D77"/>
    <w:rsid w:val="001E4D7D"/>
    <w:rsid w:val="001E54E9"/>
    <w:rsid w:val="001E6F07"/>
    <w:rsid w:val="001F0863"/>
    <w:rsid w:val="001F0B8A"/>
    <w:rsid w:val="001F1CF8"/>
    <w:rsid w:val="001F1D84"/>
    <w:rsid w:val="001F25B0"/>
    <w:rsid w:val="001F33DF"/>
    <w:rsid w:val="001F3685"/>
    <w:rsid w:val="001F36A7"/>
    <w:rsid w:val="001F41E1"/>
    <w:rsid w:val="001F4B79"/>
    <w:rsid w:val="001F6CE4"/>
    <w:rsid w:val="001F6FC1"/>
    <w:rsid w:val="001F7E63"/>
    <w:rsid w:val="001F7FF3"/>
    <w:rsid w:val="00200348"/>
    <w:rsid w:val="00200777"/>
    <w:rsid w:val="00200866"/>
    <w:rsid w:val="00200AB6"/>
    <w:rsid w:val="00200BD4"/>
    <w:rsid w:val="00200F05"/>
    <w:rsid w:val="00201550"/>
    <w:rsid w:val="0020167A"/>
    <w:rsid w:val="00201D3B"/>
    <w:rsid w:val="00201DAF"/>
    <w:rsid w:val="00202CA6"/>
    <w:rsid w:val="00203986"/>
    <w:rsid w:val="00203E51"/>
    <w:rsid w:val="002046ED"/>
    <w:rsid w:val="0020614E"/>
    <w:rsid w:val="00206894"/>
    <w:rsid w:val="00211465"/>
    <w:rsid w:val="0021174E"/>
    <w:rsid w:val="00211F21"/>
    <w:rsid w:val="0021238D"/>
    <w:rsid w:val="00212DE5"/>
    <w:rsid w:val="00212DF9"/>
    <w:rsid w:val="002138FB"/>
    <w:rsid w:val="00213DF7"/>
    <w:rsid w:val="0021415D"/>
    <w:rsid w:val="00214C05"/>
    <w:rsid w:val="00215174"/>
    <w:rsid w:val="00215654"/>
    <w:rsid w:val="00215925"/>
    <w:rsid w:val="00215FA3"/>
    <w:rsid w:val="00217CDC"/>
    <w:rsid w:val="00217D4F"/>
    <w:rsid w:val="00217FBF"/>
    <w:rsid w:val="0022022D"/>
    <w:rsid w:val="00220340"/>
    <w:rsid w:val="0022047E"/>
    <w:rsid w:val="002215F7"/>
    <w:rsid w:val="00221767"/>
    <w:rsid w:val="00221E80"/>
    <w:rsid w:val="00221F6C"/>
    <w:rsid w:val="00223019"/>
    <w:rsid w:val="002237FB"/>
    <w:rsid w:val="0022399C"/>
    <w:rsid w:val="00223A1E"/>
    <w:rsid w:val="00224A47"/>
    <w:rsid w:val="00225439"/>
    <w:rsid w:val="00225A68"/>
    <w:rsid w:val="00225F89"/>
    <w:rsid w:val="002265CF"/>
    <w:rsid w:val="00226E0B"/>
    <w:rsid w:val="00227889"/>
    <w:rsid w:val="00227D13"/>
    <w:rsid w:val="002306C4"/>
    <w:rsid w:val="00230A67"/>
    <w:rsid w:val="00231CF8"/>
    <w:rsid w:val="00232B8E"/>
    <w:rsid w:val="002333C5"/>
    <w:rsid w:val="00233C63"/>
    <w:rsid w:val="00234465"/>
    <w:rsid w:val="00234532"/>
    <w:rsid w:val="00234CBF"/>
    <w:rsid w:val="00236B70"/>
    <w:rsid w:val="00237CF4"/>
    <w:rsid w:val="00241C24"/>
    <w:rsid w:val="002431F3"/>
    <w:rsid w:val="00243A8C"/>
    <w:rsid w:val="00244FA3"/>
    <w:rsid w:val="00245115"/>
    <w:rsid w:val="002454E3"/>
    <w:rsid w:val="00245A22"/>
    <w:rsid w:val="00245BA6"/>
    <w:rsid w:val="00245DD4"/>
    <w:rsid w:val="00246254"/>
    <w:rsid w:val="00246CE5"/>
    <w:rsid w:val="0024736E"/>
    <w:rsid w:val="00250506"/>
    <w:rsid w:val="00251DE7"/>
    <w:rsid w:val="002522A6"/>
    <w:rsid w:val="002527FE"/>
    <w:rsid w:val="00252917"/>
    <w:rsid w:val="00252E79"/>
    <w:rsid w:val="00253FD1"/>
    <w:rsid w:val="00254B51"/>
    <w:rsid w:val="00254EC0"/>
    <w:rsid w:val="00254EC3"/>
    <w:rsid w:val="00255780"/>
    <w:rsid w:val="00255ACE"/>
    <w:rsid w:val="0025623E"/>
    <w:rsid w:val="00257531"/>
    <w:rsid w:val="00257EF6"/>
    <w:rsid w:val="00260934"/>
    <w:rsid w:val="002609BE"/>
    <w:rsid w:val="00263D86"/>
    <w:rsid w:val="0026402F"/>
    <w:rsid w:val="002643CC"/>
    <w:rsid w:val="00265B88"/>
    <w:rsid w:val="00265E4F"/>
    <w:rsid w:val="00266060"/>
    <w:rsid w:val="0026613B"/>
    <w:rsid w:val="00266360"/>
    <w:rsid w:val="0026649A"/>
    <w:rsid w:val="00266660"/>
    <w:rsid w:val="0026666B"/>
    <w:rsid w:val="00267A10"/>
    <w:rsid w:val="00267B6C"/>
    <w:rsid w:val="00267D92"/>
    <w:rsid w:val="002700AC"/>
    <w:rsid w:val="002705CD"/>
    <w:rsid w:val="00270799"/>
    <w:rsid w:val="00270AF0"/>
    <w:rsid w:val="002724D6"/>
    <w:rsid w:val="002725ED"/>
    <w:rsid w:val="002726D9"/>
    <w:rsid w:val="00272746"/>
    <w:rsid w:val="00272888"/>
    <w:rsid w:val="00272F81"/>
    <w:rsid w:val="00273FF0"/>
    <w:rsid w:val="002748BA"/>
    <w:rsid w:val="00274A0C"/>
    <w:rsid w:val="00274FC2"/>
    <w:rsid w:val="00274FFE"/>
    <w:rsid w:val="00275A2D"/>
    <w:rsid w:val="00275B6B"/>
    <w:rsid w:val="00276084"/>
    <w:rsid w:val="0027721E"/>
    <w:rsid w:val="00277DC3"/>
    <w:rsid w:val="0028048E"/>
    <w:rsid w:val="002808BF"/>
    <w:rsid w:val="00280FE8"/>
    <w:rsid w:val="0028108B"/>
    <w:rsid w:val="00281D6E"/>
    <w:rsid w:val="00282372"/>
    <w:rsid w:val="00282EEB"/>
    <w:rsid w:val="00282F1E"/>
    <w:rsid w:val="00283366"/>
    <w:rsid w:val="002836A4"/>
    <w:rsid w:val="00283782"/>
    <w:rsid w:val="00283920"/>
    <w:rsid w:val="00284E8A"/>
    <w:rsid w:val="0028565D"/>
    <w:rsid w:val="00285EE2"/>
    <w:rsid w:val="0028624B"/>
    <w:rsid w:val="0028637D"/>
    <w:rsid w:val="002868BB"/>
    <w:rsid w:val="00286DB1"/>
    <w:rsid w:val="00286F16"/>
    <w:rsid w:val="00287392"/>
    <w:rsid w:val="002906A3"/>
    <w:rsid w:val="00291031"/>
    <w:rsid w:val="002910EF"/>
    <w:rsid w:val="002924A7"/>
    <w:rsid w:val="00293693"/>
    <w:rsid w:val="002949A2"/>
    <w:rsid w:val="00294DAE"/>
    <w:rsid w:val="00294E00"/>
    <w:rsid w:val="00294E09"/>
    <w:rsid w:val="00295AEB"/>
    <w:rsid w:val="00295C67"/>
    <w:rsid w:val="00296165"/>
    <w:rsid w:val="00296D90"/>
    <w:rsid w:val="00297C12"/>
    <w:rsid w:val="00297DCC"/>
    <w:rsid w:val="00297E93"/>
    <w:rsid w:val="002A0610"/>
    <w:rsid w:val="002A0EE1"/>
    <w:rsid w:val="002A1D7F"/>
    <w:rsid w:val="002A1E4E"/>
    <w:rsid w:val="002A28CD"/>
    <w:rsid w:val="002A2AAD"/>
    <w:rsid w:val="002A3DBA"/>
    <w:rsid w:val="002A4048"/>
    <w:rsid w:val="002A4A42"/>
    <w:rsid w:val="002A58A1"/>
    <w:rsid w:val="002A5F53"/>
    <w:rsid w:val="002A60E3"/>
    <w:rsid w:val="002A61D5"/>
    <w:rsid w:val="002A66D5"/>
    <w:rsid w:val="002A676A"/>
    <w:rsid w:val="002A6ABC"/>
    <w:rsid w:val="002A6F86"/>
    <w:rsid w:val="002A70B3"/>
    <w:rsid w:val="002A766F"/>
    <w:rsid w:val="002A7ABD"/>
    <w:rsid w:val="002A7F9B"/>
    <w:rsid w:val="002B0DCA"/>
    <w:rsid w:val="002B0E8E"/>
    <w:rsid w:val="002B29DA"/>
    <w:rsid w:val="002B421F"/>
    <w:rsid w:val="002B45BA"/>
    <w:rsid w:val="002B478A"/>
    <w:rsid w:val="002B49BE"/>
    <w:rsid w:val="002B4A42"/>
    <w:rsid w:val="002B521A"/>
    <w:rsid w:val="002B5C2A"/>
    <w:rsid w:val="002B74AD"/>
    <w:rsid w:val="002B7C03"/>
    <w:rsid w:val="002C0E2B"/>
    <w:rsid w:val="002C1BCE"/>
    <w:rsid w:val="002C2676"/>
    <w:rsid w:val="002C31EC"/>
    <w:rsid w:val="002C3654"/>
    <w:rsid w:val="002C3B28"/>
    <w:rsid w:val="002C411E"/>
    <w:rsid w:val="002C41A2"/>
    <w:rsid w:val="002C55D5"/>
    <w:rsid w:val="002C5632"/>
    <w:rsid w:val="002C629B"/>
    <w:rsid w:val="002C673D"/>
    <w:rsid w:val="002C71D8"/>
    <w:rsid w:val="002C7A08"/>
    <w:rsid w:val="002C7B34"/>
    <w:rsid w:val="002D03E0"/>
    <w:rsid w:val="002D2814"/>
    <w:rsid w:val="002D41C9"/>
    <w:rsid w:val="002D49B3"/>
    <w:rsid w:val="002D4FE3"/>
    <w:rsid w:val="002D54E9"/>
    <w:rsid w:val="002D56A2"/>
    <w:rsid w:val="002D580A"/>
    <w:rsid w:val="002D5B0A"/>
    <w:rsid w:val="002D6159"/>
    <w:rsid w:val="002D6840"/>
    <w:rsid w:val="002D6EDA"/>
    <w:rsid w:val="002D7288"/>
    <w:rsid w:val="002D7745"/>
    <w:rsid w:val="002D7772"/>
    <w:rsid w:val="002D78DB"/>
    <w:rsid w:val="002D7D7A"/>
    <w:rsid w:val="002D7E98"/>
    <w:rsid w:val="002D7FA2"/>
    <w:rsid w:val="002E0359"/>
    <w:rsid w:val="002E0530"/>
    <w:rsid w:val="002E06AF"/>
    <w:rsid w:val="002E0735"/>
    <w:rsid w:val="002E0AC9"/>
    <w:rsid w:val="002E1413"/>
    <w:rsid w:val="002E2A70"/>
    <w:rsid w:val="002E5AEE"/>
    <w:rsid w:val="002E5EC0"/>
    <w:rsid w:val="002E6557"/>
    <w:rsid w:val="002E655F"/>
    <w:rsid w:val="002E6614"/>
    <w:rsid w:val="002E668F"/>
    <w:rsid w:val="002E74B7"/>
    <w:rsid w:val="002E7E77"/>
    <w:rsid w:val="002F06FD"/>
    <w:rsid w:val="002F11A5"/>
    <w:rsid w:val="002F16C8"/>
    <w:rsid w:val="002F2E7D"/>
    <w:rsid w:val="002F336D"/>
    <w:rsid w:val="002F3A17"/>
    <w:rsid w:val="002F3C58"/>
    <w:rsid w:val="002F3E72"/>
    <w:rsid w:val="002F405E"/>
    <w:rsid w:val="002F4172"/>
    <w:rsid w:val="002F4496"/>
    <w:rsid w:val="002F4896"/>
    <w:rsid w:val="002F4DA4"/>
    <w:rsid w:val="002F52F9"/>
    <w:rsid w:val="002F5FCD"/>
    <w:rsid w:val="002F639A"/>
    <w:rsid w:val="002F697E"/>
    <w:rsid w:val="002F6AF6"/>
    <w:rsid w:val="002F7851"/>
    <w:rsid w:val="002F7BE6"/>
    <w:rsid w:val="00300165"/>
    <w:rsid w:val="00300775"/>
    <w:rsid w:val="00301042"/>
    <w:rsid w:val="00301815"/>
    <w:rsid w:val="0030185D"/>
    <w:rsid w:val="003024AB"/>
    <w:rsid w:val="00304001"/>
    <w:rsid w:val="003046F8"/>
    <w:rsid w:val="00304D2A"/>
    <w:rsid w:val="003058D3"/>
    <w:rsid w:val="00305D12"/>
    <w:rsid w:val="00306070"/>
    <w:rsid w:val="00306414"/>
    <w:rsid w:val="00306745"/>
    <w:rsid w:val="00306C4F"/>
    <w:rsid w:val="00307059"/>
    <w:rsid w:val="00307C31"/>
    <w:rsid w:val="00307CC4"/>
    <w:rsid w:val="00307FF3"/>
    <w:rsid w:val="0031046F"/>
    <w:rsid w:val="00310C71"/>
    <w:rsid w:val="00310E0D"/>
    <w:rsid w:val="0031172D"/>
    <w:rsid w:val="00312EF9"/>
    <w:rsid w:val="00313361"/>
    <w:rsid w:val="00313DF9"/>
    <w:rsid w:val="003140C3"/>
    <w:rsid w:val="0031514F"/>
    <w:rsid w:val="003162D1"/>
    <w:rsid w:val="00316D56"/>
    <w:rsid w:val="003178BD"/>
    <w:rsid w:val="00317A5D"/>
    <w:rsid w:val="00317E30"/>
    <w:rsid w:val="003201AE"/>
    <w:rsid w:val="003201FD"/>
    <w:rsid w:val="003211A4"/>
    <w:rsid w:val="0032169A"/>
    <w:rsid w:val="00321D03"/>
    <w:rsid w:val="00321F73"/>
    <w:rsid w:val="00322D86"/>
    <w:rsid w:val="00322FE1"/>
    <w:rsid w:val="00323395"/>
    <w:rsid w:val="003237D7"/>
    <w:rsid w:val="00323A0D"/>
    <w:rsid w:val="00323DF8"/>
    <w:rsid w:val="00324DB6"/>
    <w:rsid w:val="00326BB6"/>
    <w:rsid w:val="003274FA"/>
    <w:rsid w:val="00330465"/>
    <w:rsid w:val="00331305"/>
    <w:rsid w:val="0033143A"/>
    <w:rsid w:val="00331CF3"/>
    <w:rsid w:val="00331E2C"/>
    <w:rsid w:val="00332073"/>
    <w:rsid w:val="003326E2"/>
    <w:rsid w:val="00332B47"/>
    <w:rsid w:val="00333FEB"/>
    <w:rsid w:val="0033468C"/>
    <w:rsid w:val="003349A4"/>
    <w:rsid w:val="00334B76"/>
    <w:rsid w:val="00334EC9"/>
    <w:rsid w:val="00337869"/>
    <w:rsid w:val="003379D7"/>
    <w:rsid w:val="0034007E"/>
    <w:rsid w:val="003405B2"/>
    <w:rsid w:val="00340C2D"/>
    <w:rsid w:val="00340F56"/>
    <w:rsid w:val="0034103C"/>
    <w:rsid w:val="0034180E"/>
    <w:rsid w:val="00341939"/>
    <w:rsid w:val="00341CD3"/>
    <w:rsid w:val="00342977"/>
    <w:rsid w:val="00343209"/>
    <w:rsid w:val="00343807"/>
    <w:rsid w:val="00343E12"/>
    <w:rsid w:val="00344CF2"/>
    <w:rsid w:val="00345157"/>
    <w:rsid w:val="003451AE"/>
    <w:rsid w:val="003459DA"/>
    <w:rsid w:val="00345DFF"/>
    <w:rsid w:val="0034601E"/>
    <w:rsid w:val="0034636B"/>
    <w:rsid w:val="0034639C"/>
    <w:rsid w:val="00346786"/>
    <w:rsid w:val="003468D7"/>
    <w:rsid w:val="00346C6D"/>
    <w:rsid w:val="00346F6E"/>
    <w:rsid w:val="00347050"/>
    <w:rsid w:val="0034754A"/>
    <w:rsid w:val="00350502"/>
    <w:rsid w:val="00351105"/>
    <w:rsid w:val="00351AB1"/>
    <w:rsid w:val="00353D9D"/>
    <w:rsid w:val="003540B5"/>
    <w:rsid w:val="003546DC"/>
    <w:rsid w:val="003547CC"/>
    <w:rsid w:val="00355497"/>
    <w:rsid w:val="003560A0"/>
    <w:rsid w:val="003561A8"/>
    <w:rsid w:val="00356D68"/>
    <w:rsid w:val="00357630"/>
    <w:rsid w:val="00357FE8"/>
    <w:rsid w:val="00360398"/>
    <w:rsid w:val="00360A61"/>
    <w:rsid w:val="0036166B"/>
    <w:rsid w:val="00362871"/>
    <w:rsid w:val="00363DFD"/>
    <w:rsid w:val="003643DE"/>
    <w:rsid w:val="00364943"/>
    <w:rsid w:val="00364956"/>
    <w:rsid w:val="00364AC4"/>
    <w:rsid w:val="0036510F"/>
    <w:rsid w:val="00365C06"/>
    <w:rsid w:val="0037147B"/>
    <w:rsid w:val="00371B4F"/>
    <w:rsid w:val="00372568"/>
    <w:rsid w:val="00372C3C"/>
    <w:rsid w:val="003737B4"/>
    <w:rsid w:val="00373E85"/>
    <w:rsid w:val="00373FB2"/>
    <w:rsid w:val="003750FF"/>
    <w:rsid w:val="00375E1C"/>
    <w:rsid w:val="00376EC3"/>
    <w:rsid w:val="00380366"/>
    <w:rsid w:val="0038040C"/>
    <w:rsid w:val="00380620"/>
    <w:rsid w:val="003812E9"/>
    <w:rsid w:val="0038156F"/>
    <w:rsid w:val="00381814"/>
    <w:rsid w:val="00381D58"/>
    <w:rsid w:val="00383172"/>
    <w:rsid w:val="003832DC"/>
    <w:rsid w:val="00383634"/>
    <w:rsid w:val="0038384E"/>
    <w:rsid w:val="0038393D"/>
    <w:rsid w:val="00384144"/>
    <w:rsid w:val="003844CD"/>
    <w:rsid w:val="003851E3"/>
    <w:rsid w:val="003855DB"/>
    <w:rsid w:val="00385A50"/>
    <w:rsid w:val="00385DFD"/>
    <w:rsid w:val="003861AD"/>
    <w:rsid w:val="00386BB6"/>
    <w:rsid w:val="00387051"/>
    <w:rsid w:val="00387100"/>
    <w:rsid w:val="003872B4"/>
    <w:rsid w:val="00390587"/>
    <w:rsid w:val="003907C6"/>
    <w:rsid w:val="00390DF6"/>
    <w:rsid w:val="00391321"/>
    <w:rsid w:val="003913CE"/>
    <w:rsid w:val="00391433"/>
    <w:rsid w:val="003914AD"/>
    <w:rsid w:val="003914BC"/>
    <w:rsid w:val="00391A94"/>
    <w:rsid w:val="00391C13"/>
    <w:rsid w:val="00391CE9"/>
    <w:rsid w:val="00391EF8"/>
    <w:rsid w:val="00392699"/>
    <w:rsid w:val="003934CC"/>
    <w:rsid w:val="003942C2"/>
    <w:rsid w:val="003959E6"/>
    <w:rsid w:val="00396CC4"/>
    <w:rsid w:val="00396F8E"/>
    <w:rsid w:val="00396FB5"/>
    <w:rsid w:val="003973D0"/>
    <w:rsid w:val="003A0E97"/>
    <w:rsid w:val="003A1DA4"/>
    <w:rsid w:val="003A2BD9"/>
    <w:rsid w:val="003A2E81"/>
    <w:rsid w:val="003A2F83"/>
    <w:rsid w:val="003A34C8"/>
    <w:rsid w:val="003A3A33"/>
    <w:rsid w:val="003A42C0"/>
    <w:rsid w:val="003A4791"/>
    <w:rsid w:val="003A5779"/>
    <w:rsid w:val="003A595C"/>
    <w:rsid w:val="003A5C6B"/>
    <w:rsid w:val="003A5D60"/>
    <w:rsid w:val="003A6F59"/>
    <w:rsid w:val="003B1AB9"/>
    <w:rsid w:val="003B1C39"/>
    <w:rsid w:val="003B1F23"/>
    <w:rsid w:val="003B1FBE"/>
    <w:rsid w:val="003B21BD"/>
    <w:rsid w:val="003B26AA"/>
    <w:rsid w:val="003B2CB8"/>
    <w:rsid w:val="003B323D"/>
    <w:rsid w:val="003B37D6"/>
    <w:rsid w:val="003B3D10"/>
    <w:rsid w:val="003B56AF"/>
    <w:rsid w:val="003B58B2"/>
    <w:rsid w:val="003B5B2D"/>
    <w:rsid w:val="003B6D28"/>
    <w:rsid w:val="003B6DD1"/>
    <w:rsid w:val="003B7802"/>
    <w:rsid w:val="003B798B"/>
    <w:rsid w:val="003B79A3"/>
    <w:rsid w:val="003C0691"/>
    <w:rsid w:val="003C166A"/>
    <w:rsid w:val="003C1CAF"/>
    <w:rsid w:val="003C1D05"/>
    <w:rsid w:val="003C22C5"/>
    <w:rsid w:val="003C2A17"/>
    <w:rsid w:val="003C2C5F"/>
    <w:rsid w:val="003C2E43"/>
    <w:rsid w:val="003C36FE"/>
    <w:rsid w:val="003C3A58"/>
    <w:rsid w:val="003C3DCA"/>
    <w:rsid w:val="003C52E4"/>
    <w:rsid w:val="003C580F"/>
    <w:rsid w:val="003C5A9B"/>
    <w:rsid w:val="003C645A"/>
    <w:rsid w:val="003C66DC"/>
    <w:rsid w:val="003D098B"/>
    <w:rsid w:val="003D13D3"/>
    <w:rsid w:val="003D16D1"/>
    <w:rsid w:val="003D1A1F"/>
    <w:rsid w:val="003D1C8B"/>
    <w:rsid w:val="003D20DD"/>
    <w:rsid w:val="003D20E2"/>
    <w:rsid w:val="003D2EE4"/>
    <w:rsid w:val="003D3026"/>
    <w:rsid w:val="003D350A"/>
    <w:rsid w:val="003D41BC"/>
    <w:rsid w:val="003D4466"/>
    <w:rsid w:val="003D4AAD"/>
    <w:rsid w:val="003D4F28"/>
    <w:rsid w:val="003D61FC"/>
    <w:rsid w:val="003D6677"/>
    <w:rsid w:val="003D7B27"/>
    <w:rsid w:val="003E0CB8"/>
    <w:rsid w:val="003E1014"/>
    <w:rsid w:val="003E1224"/>
    <w:rsid w:val="003E133F"/>
    <w:rsid w:val="003E1960"/>
    <w:rsid w:val="003E26AB"/>
    <w:rsid w:val="003E27D0"/>
    <w:rsid w:val="003E362B"/>
    <w:rsid w:val="003E3B68"/>
    <w:rsid w:val="003E598D"/>
    <w:rsid w:val="003E5E7C"/>
    <w:rsid w:val="003E6520"/>
    <w:rsid w:val="003E787A"/>
    <w:rsid w:val="003F087F"/>
    <w:rsid w:val="003F1D19"/>
    <w:rsid w:val="003F1D56"/>
    <w:rsid w:val="003F2AF9"/>
    <w:rsid w:val="003F2FBB"/>
    <w:rsid w:val="003F36AA"/>
    <w:rsid w:val="003F3F54"/>
    <w:rsid w:val="003F5714"/>
    <w:rsid w:val="003F5CEC"/>
    <w:rsid w:val="003F5E15"/>
    <w:rsid w:val="003F65A9"/>
    <w:rsid w:val="003F7515"/>
    <w:rsid w:val="003F7685"/>
    <w:rsid w:val="003F7C81"/>
    <w:rsid w:val="004007A9"/>
    <w:rsid w:val="004007B3"/>
    <w:rsid w:val="00400F87"/>
    <w:rsid w:val="00401851"/>
    <w:rsid w:val="00402F18"/>
    <w:rsid w:val="0040584B"/>
    <w:rsid w:val="00405A72"/>
    <w:rsid w:val="00406CEB"/>
    <w:rsid w:val="0040774E"/>
    <w:rsid w:val="0040779E"/>
    <w:rsid w:val="0041005A"/>
    <w:rsid w:val="0041031D"/>
    <w:rsid w:val="004126A8"/>
    <w:rsid w:val="00412FA8"/>
    <w:rsid w:val="004137EE"/>
    <w:rsid w:val="00413926"/>
    <w:rsid w:val="0041458C"/>
    <w:rsid w:val="00415205"/>
    <w:rsid w:val="00415461"/>
    <w:rsid w:val="00415BA2"/>
    <w:rsid w:val="004162CF"/>
    <w:rsid w:val="004169C1"/>
    <w:rsid w:val="00416BD2"/>
    <w:rsid w:val="004177D1"/>
    <w:rsid w:val="00417E86"/>
    <w:rsid w:val="00420722"/>
    <w:rsid w:val="00420A56"/>
    <w:rsid w:val="00420AD9"/>
    <w:rsid w:val="00420BCF"/>
    <w:rsid w:val="00420E25"/>
    <w:rsid w:val="004213E7"/>
    <w:rsid w:val="004215FE"/>
    <w:rsid w:val="00422422"/>
    <w:rsid w:val="004227CC"/>
    <w:rsid w:val="00422EA9"/>
    <w:rsid w:val="00423055"/>
    <w:rsid w:val="00423095"/>
    <w:rsid w:val="004235A6"/>
    <w:rsid w:val="00423A00"/>
    <w:rsid w:val="00423E19"/>
    <w:rsid w:val="004240F6"/>
    <w:rsid w:val="00425104"/>
    <w:rsid w:val="00425CDB"/>
    <w:rsid w:val="004275F5"/>
    <w:rsid w:val="00430D33"/>
    <w:rsid w:val="00431959"/>
    <w:rsid w:val="00431D53"/>
    <w:rsid w:val="004355BA"/>
    <w:rsid w:val="00435A55"/>
    <w:rsid w:val="00437053"/>
    <w:rsid w:val="00437A19"/>
    <w:rsid w:val="004403DD"/>
    <w:rsid w:val="00441EF5"/>
    <w:rsid w:val="00441F6D"/>
    <w:rsid w:val="0044389F"/>
    <w:rsid w:val="00444AB4"/>
    <w:rsid w:val="00444B2A"/>
    <w:rsid w:val="0044579E"/>
    <w:rsid w:val="004458A2"/>
    <w:rsid w:val="00446258"/>
    <w:rsid w:val="0044639E"/>
    <w:rsid w:val="00446D7D"/>
    <w:rsid w:val="00446E91"/>
    <w:rsid w:val="004473D9"/>
    <w:rsid w:val="004476B6"/>
    <w:rsid w:val="00447791"/>
    <w:rsid w:val="00447B51"/>
    <w:rsid w:val="0045084A"/>
    <w:rsid w:val="00451B93"/>
    <w:rsid w:val="00451EE2"/>
    <w:rsid w:val="0045329C"/>
    <w:rsid w:val="00453457"/>
    <w:rsid w:val="00453B86"/>
    <w:rsid w:val="00453CCE"/>
    <w:rsid w:val="00453F49"/>
    <w:rsid w:val="00453FE3"/>
    <w:rsid w:val="00454CE4"/>
    <w:rsid w:val="00455966"/>
    <w:rsid w:val="00455F57"/>
    <w:rsid w:val="00455F80"/>
    <w:rsid w:val="004561BB"/>
    <w:rsid w:val="00456492"/>
    <w:rsid w:val="004567E5"/>
    <w:rsid w:val="00456C4D"/>
    <w:rsid w:val="00456DE1"/>
    <w:rsid w:val="00456FEC"/>
    <w:rsid w:val="0046028C"/>
    <w:rsid w:val="00460732"/>
    <w:rsid w:val="0046095C"/>
    <w:rsid w:val="004613FB"/>
    <w:rsid w:val="004614C1"/>
    <w:rsid w:val="00461E5A"/>
    <w:rsid w:val="00462896"/>
    <w:rsid w:val="00462938"/>
    <w:rsid w:val="00462EBB"/>
    <w:rsid w:val="00462F86"/>
    <w:rsid w:val="0046364B"/>
    <w:rsid w:val="00463F97"/>
    <w:rsid w:val="004653DE"/>
    <w:rsid w:val="004655CA"/>
    <w:rsid w:val="004669C3"/>
    <w:rsid w:val="00466F36"/>
    <w:rsid w:val="00471629"/>
    <w:rsid w:val="00471635"/>
    <w:rsid w:val="00471889"/>
    <w:rsid w:val="004718DB"/>
    <w:rsid w:val="00472A70"/>
    <w:rsid w:val="0047322B"/>
    <w:rsid w:val="00473F54"/>
    <w:rsid w:val="00474A7F"/>
    <w:rsid w:val="004755FB"/>
    <w:rsid w:val="00475EA2"/>
    <w:rsid w:val="00475EDC"/>
    <w:rsid w:val="0047612D"/>
    <w:rsid w:val="004764A5"/>
    <w:rsid w:val="00477252"/>
    <w:rsid w:val="0047745B"/>
    <w:rsid w:val="00480041"/>
    <w:rsid w:val="00480C99"/>
    <w:rsid w:val="00481268"/>
    <w:rsid w:val="00481440"/>
    <w:rsid w:val="004819A9"/>
    <w:rsid w:val="00482702"/>
    <w:rsid w:val="00482E13"/>
    <w:rsid w:val="004832E3"/>
    <w:rsid w:val="00484190"/>
    <w:rsid w:val="00484832"/>
    <w:rsid w:val="00484972"/>
    <w:rsid w:val="00484F22"/>
    <w:rsid w:val="004850CA"/>
    <w:rsid w:val="00485C1B"/>
    <w:rsid w:val="0048615A"/>
    <w:rsid w:val="004872BD"/>
    <w:rsid w:val="00487470"/>
    <w:rsid w:val="00487494"/>
    <w:rsid w:val="004877E9"/>
    <w:rsid w:val="00490F9E"/>
    <w:rsid w:val="00491B9B"/>
    <w:rsid w:val="00493070"/>
    <w:rsid w:val="00493378"/>
    <w:rsid w:val="00494372"/>
    <w:rsid w:val="004946F4"/>
    <w:rsid w:val="004947CE"/>
    <w:rsid w:val="00495886"/>
    <w:rsid w:val="00495D4D"/>
    <w:rsid w:val="00496B11"/>
    <w:rsid w:val="004A024C"/>
    <w:rsid w:val="004A1137"/>
    <w:rsid w:val="004A156F"/>
    <w:rsid w:val="004A1A07"/>
    <w:rsid w:val="004A1B36"/>
    <w:rsid w:val="004A1DE9"/>
    <w:rsid w:val="004A21CC"/>
    <w:rsid w:val="004A279F"/>
    <w:rsid w:val="004A4EB8"/>
    <w:rsid w:val="004A5074"/>
    <w:rsid w:val="004A5250"/>
    <w:rsid w:val="004A5C28"/>
    <w:rsid w:val="004B083A"/>
    <w:rsid w:val="004B19EE"/>
    <w:rsid w:val="004B24ED"/>
    <w:rsid w:val="004B269E"/>
    <w:rsid w:val="004B2723"/>
    <w:rsid w:val="004B2817"/>
    <w:rsid w:val="004B2B34"/>
    <w:rsid w:val="004B2F01"/>
    <w:rsid w:val="004B2F58"/>
    <w:rsid w:val="004B405F"/>
    <w:rsid w:val="004B4180"/>
    <w:rsid w:val="004B43F2"/>
    <w:rsid w:val="004B4491"/>
    <w:rsid w:val="004B4A8B"/>
    <w:rsid w:val="004B4D9E"/>
    <w:rsid w:val="004B4E93"/>
    <w:rsid w:val="004B565A"/>
    <w:rsid w:val="004B60F6"/>
    <w:rsid w:val="004B6665"/>
    <w:rsid w:val="004B697C"/>
    <w:rsid w:val="004B6B5F"/>
    <w:rsid w:val="004B6F5C"/>
    <w:rsid w:val="004B715F"/>
    <w:rsid w:val="004B723B"/>
    <w:rsid w:val="004B7538"/>
    <w:rsid w:val="004C0058"/>
    <w:rsid w:val="004C0493"/>
    <w:rsid w:val="004C0890"/>
    <w:rsid w:val="004C0F7E"/>
    <w:rsid w:val="004C2023"/>
    <w:rsid w:val="004C23CB"/>
    <w:rsid w:val="004C353C"/>
    <w:rsid w:val="004C3965"/>
    <w:rsid w:val="004C3E47"/>
    <w:rsid w:val="004C4C34"/>
    <w:rsid w:val="004C5289"/>
    <w:rsid w:val="004C5C32"/>
    <w:rsid w:val="004C5E3C"/>
    <w:rsid w:val="004C5EFA"/>
    <w:rsid w:val="004C63F8"/>
    <w:rsid w:val="004C685A"/>
    <w:rsid w:val="004C7F47"/>
    <w:rsid w:val="004D02AF"/>
    <w:rsid w:val="004D02BE"/>
    <w:rsid w:val="004D1604"/>
    <w:rsid w:val="004D16D9"/>
    <w:rsid w:val="004D2111"/>
    <w:rsid w:val="004D2EE3"/>
    <w:rsid w:val="004D2F57"/>
    <w:rsid w:val="004D4932"/>
    <w:rsid w:val="004D5E26"/>
    <w:rsid w:val="004D5EE5"/>
    <w:rsid w:val="004D5F6D"/>
    <w:rsid w:val="004D6E28"/>
    <w:rsid w:val="004D7030"/>
    <w:rsid w:val="004D757B"/>
    <w:rsid w:val="004D7C4C"/>
    <w:rsid w:val="004E1B90"/>
    <w:rsid w:val="004E2138"/>
    <w:rsid w:val="004E286C"/>
    <w:rsid w:val="004E2AE6"/>
    <w:rsid w:val="004E2AFC"/>
    <w:rsid w:val="004E46A5"/>
    <w:rsid w:val="004E4C64"/>
    <w:rsid w:val="004E4DAA"/>
    <w:rsid w:val="004E56AC"/>
    <w:rsid w:val="004E5739"/>
    <w:rsid w:val="004E5FD9"/>
    <w:rsid w:val="004E61F8"/>
    <w:rsid w:val="004E7084"/>
    <w:rsid w:val="004F06FE"/>
    <w:rsid w:val="004F2FE3"/>
    <w:rsid w:val="004F31C4"/>
    <w:rsid w:val="004F3F45"/>
    <w:rsid w:val="004F44A3"/>
    <w:rsid w:val="004F4A97"/>
    <w:rsid w:val="004F4C66"/>
    <w:rsid w:val="004F5AA4"/>
    <w:rsid w:val="004F6183"/>
    <w:rsid w:val="004F6F53"/>
    <w:rsid w:val="004F71B6"/>
    <w:rsid w:val="004F77AE"/>
    <w:rsid w:val="004F77D3"/>
    <w:rsid w:val="004F7B59"/>
    <w:rsid w:val="00501165"/>
    <w:rsid w:val="00501A17"/>
    <w:rsid w:val="00501BF0"/>
    <w:rsid w:val="005035D6"/>
    <w:rsid w:val="0050375D"/>
    <w:rsid w:val="00503C0B"/>
    <w:rsid w:val="00504B34"/>
    <w:rsid w:val="00505276"/>
    <w:rsid w:val="00505CD5"/>
    <w:rsid w:val="00506640"/>
    <w:rsid w:val="00507256"/>
    <w:rsid w:val="0050726A"/>
    <w:rsid w:val="0051064B"/>
    <w:rsid w:val="005108A9"/>
    <w:rsid w:val="00510969"/>
    <w:rsid w:val="005115E3"/>
    <w:rsid w:val="005122DA"/>
    <w:rsid w:val="005123A4"/>
    <w:rsid w:val="00513679"/>
    <w:rsid w:val="00514EDE"/>
    <w:rsid w:val="005162F4"/>
    <w:rsid w:val="00517000"/>
    <w:rsid w:val="00517476"/>
    <w:rsid w:val="0051786D"/>
    <w:rsid w:val="0051789E"/>
    <w:rsid w:val="005204AF"/>
    <w:rsid w:val="00520DC2"/>
    <w:rsid w:val="005213F1"/>
    <w:rsid w:val="00521571"/>
    <w:rsid w:val="005221B4"/>
    <w:rsid w:val="00522231"/>
    <w:rsid w:val="00522C9F"/>
    <w:rsid w:val="005230B3"/>
    <w:rsid w:val="0052374F"/>
    <w:rsid w:val="005242B1"/>
    <w:rsid w:val="005247D5"/>
    <w:rsid w:val="005254DE"/>
    <w:rsid w:val="005255AD"/>
    <w:rsid w:val="0052562E"/>
    <w:rsid w:val="005262AC"/>
    <w:rsid w:val="00526E86"/>
    <w:rsid w:val="0052729A"/>
    <w:rsid w:val="00527506"/>
    <w:rsid w:val="005278FA"/>
    <w:rsid w:val="00527F5D"/>
    <w:rsid w:val="0053007E"/>
    <w:rsid w:val="00530444"/>
    <w:rsid w:val="00530B5B"/>
    <w:rsid w:val="00530FCA"/>
    <w:rsid w:val="00531101"/>
    <w:rsid w:val="00531332"/>
    <w:rsid w:val="00531CA9"/>
    <w:rsid w:val="005334A6"/>
    <w:rsid w:val="00533EBC"/>
    <w:rsid w:val="00534025"/>
    <w:rsid w:val="0053422C"/>
    <w:rsid w:val="00534292"/>
    <w:rsid w:val="0053648F"/>
    <w:rsid w:val="00536B23"/>
    <w:rsid w:val="00536FCC"/>
    <w:rsid w:val="0053703C"/>
    <w:rsid w:val="00537F78"/>
    <w:rsid w:val="005412B6"/>
    <w:rsid w:val="00542D87"/>
    <w:rsid w:val="00543951"/>
    <w:rsid w:val="00543E2D"/>
    <w:rsid w:val="00543FBB"/>
    <w:rsid w:val="00544B81"/>
    <w:rsid w:val="00545223"/>
    <w:rsid w:val="005455F2"/>
    <w:rsid w:val="005456D1"/>
    <w:rsid w:val="0054575F"/>
    <w:rsid w:val="005458EB"/>
    <w:rsid w:val="00545E79"/>
    <w:rsid w:val="00546C88"/>
    <w:rsid w:val="00546ED9"/>
    <w:rsid w:val="00547621"/>
    <w:rsid w:val="00547672"/>
    <w:rsid w:val="00547AA0"/>
    <w:rsid w:val="005504A3"/>
    <w:rsid w:val="0055199C"/>
    <w:rsid w:val="00551B90"/>
    <w:rsid w:val="00552400"/>
    <w:rsid w:val="00552612"/>
    <w:rsid w:val="005527A6"/>
    <w:rsid w:val="005528AE"/>
    <w:rsid w:val="00552A17"/>
    <w:rsid w:val="0055372A"/>
    <w:rsid w:val="0055434A"/>
    <w:rsid w:val="005547BE"/>
    <w:rsid w:val="0055520B"/>
    <w:rsid w:val="00555266"/>
    <w:rsid w:val="005556B6"/>
    <w:rsid w:val="00555D12"/>
    <w:rsid w:val="00557444"/>
    <w:rsid w:val="0055775D"/>
    <w:rsid w:val="005577C1"/>
    <w:rsid w:val="00557B62"/>
    <w:rsid w:val="00557F66"/>
    <w:rsid w:val="00560866"/>
    <w:rsid w:val="00560FF1"/>
    <w:rsid w:val="005616D0"/>
    <w:rsid w:val="00562764"/>
    <w:rsid w:val="005631CE"/>
    <w:rsid w:val="00563C27"/>
    <w:rsid w:val="00563FE7"/>
    <w:rsid w:val="005644B6"/>
    <w:rsid w:val="00564725"/>
    <w:rsid w:val="00564D26"/>
    <w:rsid w:val="00564E20"/>
    <w:rsid w:val="00564FB7"/>
    <w:rsid w:val="00565624"/>
    <w:rsid w:val="00565799"/>
    <w:rsid w:val="00565C6D"/>
    <w:rsid w:val="00566189"/>
    <w:rsid w:val="005661D0"/>
    <w:rsid w:val="00566DB0"/>
    <w:rsid w:val="00567A6A"/>
    <w:rsid w:val="00567FFD"/>
    <w:rsid w:val="0057001B"/>
    <w:rsid w:val="00570403"/>
    <w:rsid w:val="00570CEA"/>
    <w:rsid w:val="0057166C"/>
    <w:rsid w:val="00571EBD"/>
    <w:rsid w:val="00572215"/>
    <w:rsid w:val="005726CF"/>
    <w:rsid w:val="00572756"/>
    <w:rsid w:val="005728FE"/>
    <w:rsid w:val="00572AD1"/>
    <w:rsid w:val="00572E86"/>
    <w:rsid w:val="005734A7"/>
    <w:rsid w:val="00575860"/>
    <w:rsid w:val="00576035"/>
    <w:rsid w:val="00576B43"/>
    <w:rsid w:val="00576CE6"/>
    <w:rsid w:val="00577290"/>
    <w:rsid w:val="00580895"/>
    <w:rsid w:val="005817EC"/>
    <w:rsid w:val="00581DFA"/>
    <w:rsid w:val="0058253A"/>
    <w:rsid w:val="00582C94"/>
    <w:rsid w:val="0058348C"/>
    <w:rsid w:val="005839D4"/>
    <w:rsid w:val="00583A5D"/>
    <w:rsid w:val="00584B53"/>
    <w:rsid w:val="00584BD1"/>
    <w:rsid w:val="00584CED"/>
    <w:rsid w:val="0058508A"/>
    <w:rsid w:val="005850F3"/>
    <w:rsid w:val="00585B2B"/>
    <w:rsid w:val="00586B1E"/>
    <w:rsid w:val="00587409"/>
    <w:rsid w:val="00587F38"/>
    <w:rsid w:val="005907EE"/>
    <w:rsid w:val="00591F26"/>
    <w:rsid w:val="005928EF"/>
    <w:rsid w:val="00593C83"/>
    <w:rsid w:val="00594D70"/>
    <w:rsid w:val="005953CF"/>
    <w:rsid w:val="0059545B"/>
    <w:rsid w:val="00595B2A"/>
    <w:rsid w:val="00596878"/>
    <w:rsid w:val="00596A85"/>
    <w:rsid w:val="00596EC4"/>
    <w:rsid w:val="005A07BE"/>
    <w:rsid w:val="005A27D4"/>
    <w:rsid w:val="005A2F27"/>
    <w:rsid w:val="005A3A47"/>
    <w:rsid w:val="005A4662"/>
    <w:rsid w:val="005A5F83"/>
    <w:rsid w:val="005A6EC8"/>
    <w:rsid w:val="005A7A3D"/>
    <w:rsid w:val="005A7B95"/>
    <w:rsid w:val="005A7BE5"/>
    <w:rsid w:val="005B063F"/>
    <w:rsid w:val="005B0F08"/>
    <w:rsid w:val="005B146F"/>
    <w:rsid w:val="005B1738"/>
    <w:rsid w:val="005B1D39"/>
    <w:rsid w:val="005B2614"/>
    <w:rsid w:val="005B2695"/>
    <w:rsid w:val="005B379F"/>
    <w:rsid w:val="005B38C5"/>
    <w:rsid w:val="005B4031"/>
    <w:rsid w:val="005B43C4"/>
    <w:rsid w:val="005B49AD"/>
    <w:rsid w:val="005B4A4B"/>
    <w:rsid w:val="005B5452"/>
    <w:rsid w:val="005B5D16"/>
    <w:rsid w:val="005B5DAB"/>
    <w:rsid w:val="005B7585"/>
    <w:rsid w:val="005C038B"/>
    <w:rsid w:val="005C0891"/>
    <w:rsid w:val="005C12FF"/>
    <w:rsid w:val="005C1426"/>
    <w:rsid w:val="005C236C"/>
    <w:rsid w:val="005C2960"/>
    <w:rsid w:val="005C2FA6"/>
    <w:rsid w:val="005C316E"/>
    <w:rsid w:val="005C3299"/>
    <w:rsid w:val="005C4407"/>
    <w:rsid w:val="005C489C"/>
    <w:rsid w:val="005C4A39"/>
    <w:rsid w:val="005C531F"/>
    <w:rsid w:val="005C57D8"/>
    <w:rsid w:val="005C666E"/>
    <w:rsid w:val="005D0233"/>
    <w:rsid w:val="005D0C3A"/>
    <w:rsid w:val="005D1426"/>
    <w:rsid w:val="005D1D85"/>
    <w:rsid w:val="005D20F7"/>
    <w:rsid w:val="005D2AC3"/>
    <w:rsid w:val="005D3692"/>
    <w:rsid w:val="005D4187"/>
    <w:rsid w:val="005D446C"/>
    <w:rsid w:val="005D4815"/>
    <w:rsid w:val="005D506C"/>
    <w:rsid w:val="005D6FAC"/>
    <w:rsid w:val="005D6FEC"/>
    <w:rsid w:val="005D7146"/>
    <w:rsid w:val="005D780C"/>
    <w:rsid w:val="005E00B0"/>
    <w:rsid w:val="005E171D"/>
    <w:rsid w:val="005E1AAA"/>
    <w:rsid w:val="005E2343"/>
    <w:rsid w:val="005E2403"/>
    <w:rsid w:val="005E290C"/>
    <w:rsid w:val="005E2CB3"/>
    <w:rsid w:val="005E2CDB"/>
    <w:rsid w:val="005E31F2"/>
    <w:rsid w:val="005E382A"/>
    <w:rsid w:val="005E3AD1"/>
    <w:rsid w:val="005E46AF"/>
    <w:rsid w:val="005E4C9C"/>
    <w:rsid w:val="005E51E6"/>
    <w:rsid w:val="005E5E36"/>
    <w:rsid w:val="005E61A0"/>
    <w:rsid w:val="005E698A"/>
    <w:rsid w:val="005E6CFA"/>
    <w:rsid w:val="005E773C"/>
    <w:rsid w:val="005E7775"/>
    <w:rsid w:val="005E7871"/>
    <w:rsid w:val="005E78E6"/>
    <w:rsid w:val="005E7F19"/>
    <w:rsid w:val="005F08EF"/>
    <w:rsid w:val="005F15C2"/>
    <w:rsid w:val="005F2389"/>
    <w:rsid w:val="005F338E"/>
    <w:rsid w:val="005F3623"/>
    <w:rsid w:val="005F38F2"/>
    <w:rsid w:val="005F4189"/>
    <w:rsid w:val="005F43CB"/>
    <w:rsid w:val="005F47DD"/>
    <w:rsid w:val="005F4FE5"/>
    <w:rsid w:val="005F50AE"/>
    <w:rsid w:val="005F5427"/>
    <w:rsid w:val="005F54B7"/>
    <w:rsid w:val="005F5940"/>
    <w:rsid w:val="005F5F3B"/>
    <w:rsid w:val="005F6D07"/>
    <w:rsid w:val="005F6E3C"/>
    <w:rsid w:val="005F6FD2"/>
    <w:rsid w:val="005F70DC"/>
    <w:rsid w:val="005F723B"/>
    <w:rsid w:val="005F7A71"/>
    <w:rsid w:val="005F7B33"/>
    <w:rsid w:val="005F7D76"/>
    <w:rsid w:val="006001EF"/>
    <w:rsid w:val="0060087E"/>
    <w:rsid w:val="0060108A"/>
    <w:rsid w:val="00601E53"/>
    <w:rsid w:val="00601FCB"/>
    <w:rsid w:val="00602506"/>
    <w:rsid w:val="006031BB"/>
    <w:rsid w:val="00603BB2"/>
    <w:rsid w:val="00604629"/>
    <w:rsid w:val="006052E0"/>
    <w:rsid w:val="006063C5"/>
    <w:rsid w:val="00606AEF"/>
    <w:rsid w:val="006078ED"/>
    <w:rsid w:val="00607EFF"/>
    <w:rsid w:val="006105E5"/>
    <w:rsid w:val="00610AD1"/>
    <w:rsid w:val="00611DBC"/>
    <w:rsid w:val="00612635"/>
    <w:rsid w:val="006132F3"/>
    <w:rsid w:val="006133CF"/>
    <w:rsid w:val="00613623"/>
    <w:rsid w:val="00614B8C"/>
    <w:rsid w:val="006152BF"/>
    <w:rsid w:val="0061574C"/>
    <w:rsid w:val="00615837"/>
    <w:rsid w:val="00615975"/>
    <w:rsid w:val="00615F45"/>
    <w:rsid w:val="0061673D"/>
    <w:rsid w:val="00616E9B"/>
    <w:rsid w:val="00617074"/>
    <w:rsid w:val="00620502"/>
    <w:rsid w:val="0062129A"/>
    <w:rsid w:val="00621509"/>
    <w:rsid w:val="0062243D"/>
    <w:rsid w:val="00623B93"/>
    <w:rsid w:val="00624D4F"/>
    <w:rsid w:val="006255AC"/>
    <w:rsid w:val="00625621"/>
    <w:rsid w:val="00626C23"/>
    <w:rsid w:val="00626E97"/>
    <w:rsid w:val="0062731E"/>
    <w:rsid w:val="006279A5"/>
    <w:rsid w:val="006303B9"/>
    <w:rsid w:val="00630BD8"/>
    <w:rsid w:val="00630E7C"/>
    <w:rsid w:val="00631AA3"/>
    <w:rsid w:val="0063231D"/>
    <w:rsid w:val="0063429A"/>
    <w:rsid w:val="00634797"/>
    <w:rsid w:val="00634FC2"/>
    <w:rsid w:val="00635149"/>
    <w:rsid w:val="00635E4B"/>
    <w:rsid w:val="00636138"/>
    <w:rsid w:val="006370D0"/>
    <w:rsid w:val="00640B4D"/>
    <w:rsid w:val="006414C6"/>
    <w:rsid w:val="00641AFF"/>
    <w:rsid w:val="00641BE5"/>
    <w:rsid w:val="00641D5A"/>
    <w:rsid w:val="00642F0B"/>
    <w:rsid w:val="0064321C"/>
    <w:rsid w:val="00643760"/>
    <w:rsid w:val="00643D2C"/>
    <w:rsid w:val="006446B3"/>
    <w:rsid w:val="006446DE"/>
    <w:rsid w:val="00644B7F"/>
    <w:rsid w:val="00644EFC"/>
    <w:rsid w:val="00644F06"/>
    <w:rsid w:val="0064556F"/>
    <w:rsid w:val="006457F5"/>
    <w:rsid w:val="006462F7"/>
    <w:rsid w:val="00646590"/>
    <w:rsid w:val="00646DBB"/>
    <w:rsid w:val="006473CE"/>
    <w:rsid w:val="00647984"/>
    <w:rsid w:val="00650197"/>
    <w:rsid w:val="006505BC"/>
    <w:rsid w:val="00650754"/>
    <w:rsid w:val="00650EEC"/>
    <w:rsid w:val="00650F67"/>
    <w:rsid w:val="00651532"/>
    <w:rsid w:val="00651BC3"/>
    <w:rsid w:val="00652057"/>
    <w:rsid w:val="00652E9D"/>
    <w:rsid w:val="006532D3"/>
    <w:rsid w:val="00653AA4"/>
    <w:rsid w:val="0065480F"/>
    <w:rsid w:val="0065648E"/>
    <w:rsid w:val="00656E2A"/>
    <w:rsid w:val="00657EC0"/>
    <w:rsid w:val="00660A24"/>
    <w:rsid w:val="006611E7"/>
    <w:rsid w:val="00661CF0"/>
    <w:rsid w:val="00661E64"/>
    <w:rsid w:val="00662502"/>
    <w:rsid w:val="006626EE"/>
    <w:rsid w:val="00662BC9"/>
    <w:rsid w:val="00663072"/>
    <w:rsid w:val="00663EAC"/>
    <w:rsid w:val="006649D7"/>
    <w:rsid w:val="00664AE4"/>
    <w:rsid w:val="00664CAE"/>
    <w:rsid w:val="006652B4"/>
    <w:rsid w:val="00665772"/>
    <w:rsid w:val="006665D1"/>
    <w:rsid w:val="00666919"/>
    <w:rsid w:val="00666DDF"/>
    <w:rsid w:val="006677C4"/>
    <w:rsid w:val="00667D3B"/>
    <w:rsid w:val="00667D6E"/>
    <w:rsid w:val="00670157"/>
    <w:rsid w:val="006702C5"/>
    <w:rsid w:val="00670339"/>
    <w:rsid w:val="00670AB8"/>
    <w:rsid w:val="006713FA"/>
    <w:rsid w:val="0067143B"/>
    <w:rsid w:val="00671451"/>
    <w:rsid w:val="00671BE3"/>
    <w:rsid w:val="0067213C"/>
    <w:rsid w:val="006726EA"/>
    <w:rsid w:val="0067292F"/>
    <w:rsid w:val="006731AA"/>
    <w:rsid w:val="006731D3"/>
    <w:rsid w:val="006733CD"/>
    <w:rsid w:val="00673A3C"/>
    <w:rsid w:val="00673A4B"/>
    <w:rsid w:val="00673E96"/>
    <w:rsid w:val="00674080"/>
    <w:rsid w:val="00674315"/>
    <w:rsid w:val="00675788"/>
    <w:rsid w:val="00675B31"/>
    <w:rsid w:val="00677FC9"/>
    <w:rsid w:val="00680437"/>
    <w:rsid w:val="006812D3"/>
    <w:rsid w:val="0068178E"/>
    <w:rsid w:val="006822A7"/>
    <w:rsid w:val="006823BC"/>
    <w:rsid w:val="00682F70"/>
    <w:rsid w:val="00683B39"/>
    <w:rsid w:val="006852BE"/>
    <w:rsid w:val="006852CE"/>
    <w:rsid w:val="00685341"/>
    <w:rsid w:val="006862E9"/>
    <w:rsid w:val="006863A6"/>
    <w:rsid w:val="0068676E"/>
    <w:rsid w:val="00686EBC"/>
    <w:rsid w:val="00687D48"/>
    <w:rsid w:val="00690A54"/>
    <w:rsid w:val="006912FC"/>
    <w:rsid w:val="00691C6D"/>
    <w:rsid w:val="00691D29"/>
    <w:rsid w:val="00693DFD"/>
    <w:rsid w:val="00695120"/>
    <w:rsid w:val="0069565C"/>
    <w:rsid w:val="00696068"/>
    <w:rsid w:val="006966D4"/>
    <w:rsid w:val="006969FE"/>
    <w:rsid w:val="006A1351"/>
    <w:rsid w:val="006A2216"/>
    <w:rsid w:val="006A2F9F"/>
    <w:rsid w:val="006A42D7"/>
    <w:rsid w:val="006A4621"/>
    <w:rsid w:val="006A4C07"/>
    <w:rsid w:val="006A5460"/>
    <w:rsid w:val="006A5656"/>
    <w:rsid w:val="006A5F29"/>
    <w:rsid w:val="006A606D"/>
    <w:rsid w:val="006A63FB"/>
    <w:rsid w:val="006A6875"/>
    <w:rsid w:val="006A7090"/>
    <w:rsid w:val="006A71E4"/>
    <w:rsid w:val="006A768D"/>
    <w:rsid w:val="006A7E5A"/>
    <w:rsid w:val="006A7E8D"/>
    <w:rsid w:val="006B0228"/>
    <w:rsid w:val="006B099A"/>
    <w:rsid w:val="006B1259"/>
    <w:rsid w:val="006B1E65"/>
    <w:rsid w:val="006B2483"/>
    <w:rsid w:val="006B2781"/>
    <w:rsid w:val="006B2CE7"/>
    <w:rsid w:val="006B3452"/>
    <w:rsid w:val="006B4613"/>
    <w:rsid w:val="006B511A"/>
    <w:rsid w:val="006B5CB9"/>
    <w:rsid w:val="006B5CF0"/>
    <w:rsid w:val="006B6A6F"/>
    <w:rsid w:val="006B6A74"/>
    <w:rsid w:val="006B6BB4"/>
    <w:rsid w:val="006B6D93"/>
    <w:rsid w:val="006C06BF"/>
    <w:rsid w:val="006C0A77"/>
    <w:rsid w:val="006C0CE7"/>
    <w:rsid w:val="006C10EC"/>
    <w:rsid w:val="006C19B3"/>
    <w:rsid w:val="006C2857"/>
    <w:rsid w:val="006C3239"/>
    <w:rsid w:val="006C3A5F"/>
    <w:rsid w:val="006C405F"/>
    <w:rsid w:val="006C4273"/>
    <w:rsid w:val="006C4733"/>
    <w:rsid w:val="006C55E7"/>
    <w:rsid w:val="006C6E82"/>
    <w:rsid w:val="006C7571"/>
    <w:rsid w:val="006C7883"/>
    <w:rsid w:val="006C7D4C"/>
    <w:rsid w:val="006C7F38"/>
    <w:rsid w:val="006C7F3D"/>
    <w:rsid w:val="006C7FB3"/>
    <w:rsid w:val="006D004B"/>
    <w:rsid w:val="006D06A6"/>
    <w:rsid w:val="006D0787"/>
    <w:rsid w:val="006D10D2"/>
    <w:rsid w:val="006D12A3"/>
    <w:rsid w:val="006D13F4"/>
    <w:rsid w:val="006D14FE"/>
    <w:rsid w:val="006D1885"/>
    <w:rsid w:val="006D23FB"/>
    <w:rsid w:val="006D2ADE"/>
    <w:rsid w:val="006D3161"/>
    <w:rsid w:val="006D35DD"/>
    <w:rsid w:val="006D39FD"/>
    <w:rsid w:val="006D3B3B"/>
    <w:rsid w:val="006D48FD"/>
    <w:rsid w:val="006D553C"/>
    <w:rsid w:val="006D5B67"/>
    <w:rsid w:val="006D65E2"/>
    <w:rsid w:val="006D6949"/>
    <w:rsid w:val="006D767F"/>
    <w:rsid w:val="006E00E0"/>
    <w:rsid w:val="006E01F2"/>
    <w:rsid w:val="006E0739"/>
    <w:rsid w:val="006E18F6"/>
    <w:rsid w:val="006E274E"/>
    <w:rsid w:val="006E2DBB"/>
    <w:rsid w:val="006E2F28"/>
    <w:rsid w:val="006E3995"/>
    <w:rsid w:val="006E4984"/>
    <w:rsid w:val="006E4FAB"/>
    <w:rsid w:val="006E5006"/>
    <w:rsid w:val="006E52F7"/>
    <w:rsid w:val="006E58F7"/>
    <w:rsid w:val="006E5A81"/>
    <w:rsid w:val="006E5E07"/>
    <w:rsid w:val="006E6541"/>
    <w:rsid w:val="006E76BB"/>
    <w:rsid w:val="006E77E8"/>
    <w:rsid w:val="006E782E"/>
    <w:rsid w:val="006E7990"/>
    <w:rsid w:val="006E7FAC"/>
    <w:rsid w:val="006F0222"/>
    <w:rsid w:val="006F2224"/>
    <w:rsid w:val="006F3E56"/>
    <w:rsid w:val="006F4BB4"/>
    <w:rsid w:val="006F54BF"/>
    <w:rsid w:val="006F5B15"/>
    <w:rsid w:val="006F71AB"/>
    <w:rsid w:val="006F7DB7"/>
    <w:rsid w:val="00700FA3"/>
    <w:rsid w:val="00700FCE"/>
    <w:rsid w:val="007014AB"/>
    <w:rsid w:val="0070157E"/>
    <w:rsid w:val="007020B0"/>
    <w:rsid w:val="0070243E"/>
    <w:rsid w:val="007025B7"/>
    <w:rsid w:val="00702DA3"/>
    <w:rsid w:val="007045F0"/>
    <w:rsid w:val="00704EAE"/>
    <w:rsid w:val="00704FFF"/>
    <w:rsid w:val="00705715"/>
    <w:rsid w:val="00705897"/>
    <w:rsid w:val="00705E66"/>
    <w:rsid w:val="007068D4"/>
    <w:rsid w:val="00706B7D"/>
    <w:rsid w:val="00706EB7"/>
    <w:rsid w:val="00710357"/>
    <w:rsid w:val="007106A7"/>
    <w:rsid w:val="00710F50"/>
    <w:rsid w:val="0071245A"/>
    <w:rsid w:val="0071296A"/>
    <w:rsid w:val="007142DD"/>
    <w:rsid w:val="007147E0"/>
    <w:rsid w:val="0071564B"/>
    <w:rsid w:val="00715A53"/>
    <w:rsid w:val="00716386"/>
    <w:rsid w:val="00716DA4"/>
    <w:rsid w:val="00716E16"/>
    <w:rsid w:val="00716F04"/>
    <w:rsid w:val="0071711A"/>
    <w:rsid w:val="00717511"/>
    <w:rsid w:val="007178C8"/>
    <w:rsid w:val="00717AA7"/>
    <w:rsid w:val="00717E22"/>
    <w:rsid w:val="00720348"/>
    <w:rsid w:val="0072110A"/>
    <w:rsid w:val="00721692"/>
    <w:rsid w:val="00722B03"/>
    <w:rsid w:val="00723EF5"/>
    <w:rsid w:val="007243B3"/>
    <w:rsid w:val="00724638"/>
    <w:rsid w:val="007246F4"/>
    <w:rsid w:val="00724870"/>
    <w:rsid w:val="00724C1F"/>
    <w:rsid w:val="0072533C"/>
    <w:rsid w:val="00726682"/>
    <w:rsid w:val="00726E34"/>
    <w:rsid w:val="007271CA"/>
    <w:rsid w:val="00727AD3"/>
    <w:rsid w:val="00727C03"/>
    <w:rsid w:val="00727E02"/>
    <w:rsid w:val="00727F3A"/>
    <w:rsid w:val="0073033C"/>
    <w:rsid w:val="00730A59"/>
    <w:rsid w:val="00730DC2"/>
    <w:rsid w:val="007311B3"/>
    <w:rsid w:val="007315D8"/>
    <w:rsid w:val="00732983"/>
    <w:rsid w:val="007334C2"/>
    <w:rsid w:val="007336BD"/>
    <w:rsid w:val="00733D90"/>
    <w:rsid w:val="00733EFF"/>
    <w:rsid w:val="007341A3"/>
    <w:rsid w:val="00734370"/>
    <w:rsid w:val="00734A92"/>
    <w:rsid w:val="007351BA"/>
    <w:rsid w:val="00735D5D"/>
    <w:rsid w:val="00736620"/>
    <w:rsid w:val="007368FE"/>
    <w:rsid w:val="00736AFD"/>
    <w:rsid w:val="00736FBB"/>
    <w:rsid w:val="00737277"/>
    <w:rsid w:val="00737AC9"/>
    <w:rsid w:val="00737C39"/>
    <w:rsid w:val="00740100"/>
    <w:rsid w:val="007405EB"/>
    <w:rsid w:val="007409D0"/>
    <w:rsid w:val="00740E86"/>
    <w:rsid w:val="00741074"/>
    <w:rsid w:val="007411FC"/>
    <w:rsid w:val="00741B02"/>
    <w:rsid w:val="00742419"/>
    <w:rsid w:val="00743864"/>
    <w:rsid w:val="00743935"/>
    <w:rsid w:val="00743C8F"/>
    <w:rsid w:val="00744599"/>
    <w:rsid w:val="00744C06"/>
    <w:rsid w:val="00745671"/>
    <w:rsid w:val="00745679"/>
    <w:rsid w:val="00745742"/>
    <w:rsid w:val="00745876"/>
    <w:rsid w:val="00746A58"/>
    <w:rsid w:val="00746EB1"/>
    <w:rsid w:val="007501A8"/>
    <w:rsid w:val="007505A4"/>
    <w:rsid w:val="00750B62"/>
    <w:rsid w:val="00751298"/>
    <w:rsid w:val="0075309F"/>
    <w:rsid w:val="0075399A"/>
    <w:rsid w:val="00754012"/>
    <w:rsid w:val="00754EF2"/>
    <w:rsid w:val="00756024"/>
    <w:rsid w:val="007564A0"/>
    <w:rsid w:val="00756C4A"/>
    <w:rsid w:val="007573D5"/>
    <w:rsid w:val="00761BA7"/>
    <w:rsid w:val="00761CC9"/>
    <w:rsid w:val="007621A6"/>
    <w:rsid w:val="00763E36"/>
    <w:rsid w:val="0076528C"/>
    <w:rsid w:val="00765EDC"/>
    <w:rsid w:val="00766DBF"/>
    <w:rsid w:val="007677C8"/>
    <w:rsid w:val="00767B87"/>
    <w:rsid w:val="00767C2A"/>
    <w:rsid w:val="00767FB0"/>
    <w:rsid w:val="007702EE"/>
    <w:rsid w:val="007706FD"/>
    <w:rsid w:val="00770B9F"/>
    <w:rsid w:val="00771826"/>
    <w:rsid w:val="007727D6"/>
    <w:rsid w:val="0077479E"/>
    <w:rsid w:val="00774BD7"/>
    <w:rsid w:val="00774E24"/>
    <w:rsid w:val="00775425"/>
    <w:rsid w:val="00775DAC"/>
    <w:rsid w:val="00776561"/>
    <w:rsid w:val="007767B3"/>
    <w:rsid w:val="00776828"/>
    <w:rsid w:val="00776894"/>
    <w:rsid w:val="00781A8D"/>
    <w:rsid w:val="0078248D"/>
    <w:rsid w:val="00782726"/>
    <w:rsid w:val="007829B1"/>
    <w:rsid w:val="00782CC7"/>
    <w:rsid w:val="007834C2"/>
    <w:rsid w:val="00784518"/>
    <w:rsid w:val="007854A4"/>
    <w:rsid w:val="007854EC"/>
    <w:rsid w:val="00786DF1"/>
    <w:rsid w:val="00787431"/>
    <w:rsid w:val="007910A0"/>
    <w:rsid w:val="007911E2"/>
    <w:rsid w:val="00791211"/>
    <w:rsid w:val="0079142A"/>
    <w:rsid w:val="0079251B"/>
    <w:rsid w:val="00792C2F"/>
    <w:rsid w:val="00792F25"/>
    <w:rsid w:val="00793C05"/>
    <w:rsid w:val="00793D1E"/>
    <w:rsid w:val="0079433A"/>
    <w:rsid w:val="007949E5"/>
    <w:rsid w:val="00795430"/>
    <w:rsid w:val="00795756"/>
    <w:rsid w:val="007958E0"/>
    <w:rsid w:val="007964F0"/>
    <w:rsid w:val="0079752B"/>
    <w:rsid w:val="007A1770"/>
    <w:rsid w:val="007A219C"/>
    <w:rsid w:val="007A35C0"/>
    <w:rsid w:val="007A41AF"/>
    <w:rsid w:val="007A4598"/>
    <w:rsid w:val="007A49D1"/>
    <w:rsid w:val="007A4E59"/>
    <w:rsid w:val="007A4FCD"/>
    <w:rsid w:val="007A506A"/>
    <w:rsid w:val="007A6238"/>
    <w:rsid w:val="007A6598"/>
    <w:rsid w:val="007A65D9"/>
    <w:rsid w:val="007B148D"/>
    <w:rsid w:val="007B1B23"/>
    <w:rsid w:val="007B237B"/>
    <w:rsid w:val="007B2AC2"/>
    <w:rsid w:val="007B3952"/>
    <w:rsid w:val="007B462C"/>
    <w:rsid w:val="007B58DD"/>
    <w:rsid w:val="007B5AEF"/>
    <w:rsid w:val="007B6F0D"/>
    <w:rsid w:val="007B7890"/>
    <w:rsid w:val="007B7A15"/>
    <w:rsid w:val="007B7F56"/>
    <w:rsid w:val="007C004D"/>
    <w:rsid w:val="007C068D"/>
    <w:rsid w:val="007C0F37"/>
    <w:rsid w:val="007C16F2"/>
    <w:rsid w:val="007C17D8"/>
    <w:rsid w:val="007C2422"/>
    <w:rsid w:val="007C3896"/>
    <w:rsid w:val="007C3A1F"/>
    <w:rsid w:val="007C4115"/>
    <w:rsid w:val="007C462F"/>
    <w:rsid w:val="007C49E6"/>
    <w:rsid w:val="007C4F97"/>
    <w:rsid w:val="007C5A05"/>
    <w:rsid w:val="007C5EF3"/>
    <w:rsid w:val="007C650C"/>
    <w:rsid w:val="007C6922"/>
    <w:rsid w:val="007C6D2F"/>
    <w:rsid w:val="007C6E59"/>
    <w:rsid w:val="007C776D"/>
    <w:rsid w:val="007C78E4"/>
    <w:rsid w:val="007C7CE8"/>
    <w:rsid w:val="007C7DEE"/>
    <w:rsid w:val="007D0601"/>
    <w:rsid w:val="007D10A3"/>
    <w:rsid w:val="007D21C1"/>
    <w:rsid w:val="007D3035"/>
    <w:rsid w:val="007D3607"/>
    <w:rsid w:val="007D3A67"/>
    <w:rsid w:val="007D4036"/>
    <w:rsid w:val="007D427A"/>
    <w:rsid w:val="007D46CE"/>
    <w:rsid w:val="007D509B"/>
    <w:rsid w:val="007D5C8A"/>
    <w:rsid w:val="007D6DE0"/>
    <w:rsid w:val="007D70CB"/>
    <w:rsid w:val="007D735F"/>
    <w:rsid w:val="007D7899"/>
    <w:rsid w:val="007D7BFA"/>
    <w:rsid w:val="007E027E"/>
    <w:rsid w:val="007E03C1"/>
    <w:rsid w:val="007E0955"/>
    <w:rsid w:val="007E0BF5"/>
    <w:rsid w:val="007E0DAC"/>
    <w:rsid w:val="007E1736"/>
    <w:rsid w:val="007E1AB0"/>
    <w:rsid w:val="007E2318"/>
    <w:rsid w:val="007E3147"/>
    <w:rsid w:val="007E37DA"/>
    <w:rsid w:val="007E37FD"/>
    <w:rsid w:val="007E391C"/>
    <w:rsid w:val="007E3BE6"/>
    <w:rsid w:val="007E3CC2"/>
    <w:rsid w:val="007E48FE"/>
    <w:rsid w:val="007E4D56"/>
    <w:rsid w:val="007E4F57"/>
    <w:rsid w:val="007E53E2"/>
    <w:rsid w:val="007E5FB2"/>
    <w:rsid w:val="007E6619"/>
    <w:rsid w:val="007E688E"/>
    <w:rsid w:val="007E7935"/>
    <w:rsid w:val="007E79F2"/>
    <w:rsid w:val="007E7BED"/>
    <w:rsid w:val="007F0028"/>
    <w:rsid w:val="007F012C"/>
    <w:rsid w:val="007F20BD"/>
    <w:rsid w:val="007F2AA3"/>
    <w:rsid w:val="007F2B66"/>
    <w:rsid w:val="007F4F00"/>
    <w:rsid w:val="007F5116"/>
    <w:rsid w:val="007F5C9E"/>
    <w:rsid w:val="007F61BE"/>
    <w:rsid w:val="007F649B"/>
    <w:rsid w:val="007F6B27"/>
    <w:rsid w:val="007F7623"/>
    <w:rsid w:val="007F7EA2"/>
    <w:rsid w:val="007F7EA6"/>
    <w:rsid w:val="00800259"/>
    <w:rsid w:val="00800897"/>
    <w:rsid w:val="008013E8"/>
    <w:rsid w:val="00801571"/>
    <w:rsid w:val="0080195F"/>
    <w:rsid w:val="00801B6D"/>
    <w:rsid w:val="008021EB"/>
    <w:rsid w:val="008024CF"/>
    <w:rsid w:val="008024D9"/>
    <w:rsid w:val="00802B25"/>
    <w:rsid w:val="00802B6A"/>
    <w:rsid w:val="008042DD"/>
    <w:rsid w:val="008047B3"/>
    <w:rsid w:val="00804A99"/>
    <w:rsid w:val="00805F9D"/>
    <w:rsid w:val="00805FBF"/>
    <w:rsid w:val="00806290"/>
    <w:rsid w:val="00806508"/>
    <w:rsid w:val="0080650D"/>
    <w:rsid w:val="00807174"/>
    <w:rsid w:val="00810D05"/>
    <w:rsid w:val="0081247D"/>
    <w:rsid w:val="008124B9"/>
    <w:rsid w:val="00814D9F"/>
    <w:rsid w:val="008152B8"/>
    <w:rsid w:val="008153B1"/>
    <w:rsid w:val="008157E7"/>
    <w:rsid w:val="00815AAE"/>
    <w:rsid w:val="00815BE6"/>
    <w:rsid w:val="0081608F"/>
    <w:rsid w:val="008168BE"/>
    <w:rsid w:val="00816C5E"/>
    <w:rsid w:val="0081723F"/>
    <w:rsid w:val="00817BE2"/>
    <w:rsid w:val="00817CC9"/>
    <w:rsid w:val="00820772"/>
    <w:rsid w:val="0082094A"/>
    <w:rsid w:val="00820E09"/>
    <w:rsid w:val="00821256"/>
    <w:rsid w:val="00821D83"/>
    <w:rsid w:val="0082202C"/>
    <w:rsid w:val="008230D7"/>
    <w:rsid w:val="008245C6"/>
    <w:rsid w:val="008245EA"/>
    <w:rsid w:val="008248AE"/>
    <w:rsid w:val="00824D84"/>
    <w:rsid w:val="008251BB"/>
    <w:rsid w:val="008251F2"/>
    <w:rsid w:val="008254D7"/>
    <w:rsid w:val="00825E54"/>
    <w:rsid w:val="008267DB"/>
    <w:rsid w:val="0082693E"/>
    <w:rsid w:val="00826F34"/>
    <w:rsid w:val="00826F4E"/>
    <w:rsid w:val="008309DD"/>
    <w:rsid w:val="00830DA3"/>
    <w:rsid w:val="00831259"/>
    <w:rsid w:val="00831E12"/>
    <w:rsid w:val="008323A5"/>
    <w:rsid w:val="008324C5"/>
    <w:rsid w:val="00833372"/>
    <w:rsid w:val="0083357F"/>
    <w:rsid w:val="00833600"/>
    <w:rsid w:val="00833EE0"/>
    <w:rsid w:val="0083477A"/>
    <w:rsid w:val="00834B6C"/>
    <w:rsid w:val="008350D1"/>
    <w:rsid w:val="00835D38"/>
    <w:rsid w:val="0083623B"/>
    <w:rsid w:val="00836322"/>
    <w:rsid w:val="00836A0F"/>
    <w:rsid w:val="00836CD5"/>
    <w:rsid w:val="0083776C"/>
    <w:rsid w:val="008378E8"/>
    <w:rsid w:val="008378F8"/>
    <w:rsid w:val="00837C67"/>
    <w:rsid w:val="00837DEA"/>
    <w:rsid w:val="00840ABC"/>
    <w:rsid w:val="008414E2"/>
    <w:rsid w:val="008415A9"/>
    <w:rsid w:val="008419C6"/>
    <w:rsid w:val="00841C0D"/>
    <w:rsid w:val="00842496"/>
    <w:rsid w:val="00844323"/>
    <w:rsid w:val="00844EE4"/>
    <w:rsid w:val="00845253"/>
    <w:rsid w:val="008458F1"/>
    <w:rsid w:val="0084593D"/>
    <w:rsid w:val="0084609F"/>
    <w:rsid w:val="00846D1F"/>
    <w:rsid w:val="00847A00"/>
    <w:rsid w:val="00847CC6"/>
    <w:rsid w:val="00847DF1"/>
    <w:rsid w:val="008502DB"/>
    <w:rsid w:val="008515DB"/>
    <w:rsid w:val="0085194D"/>
    <w:rsid w:val="008523C1"/>
    <w:rsid w:val="0085293C"/>
    <w:rsid w:val="00855B0F"/>
    <w:rsid w:val="00855FC1"/>
    <w:rsid w:val="008562D5"/>
    <w:rsid w:val="00857D52"/>
    <w:rsid w:val="00857DA3"/>
    <w:rsid w:val="00860824"/>
    <w:rsid w:val="008608F9"/>
    <w:rsid w:val="00860DB3"/>
    <w:rsid w:val="008628BD"/>
    <w:rsid w:val="00863153"/>
    <w:rsid w:val="008631F2"/>
    <w:rsid w:val="00863A38"/>
    <w:rsid w:val="00863D97"/>
    <w:rsid w:val="00863F8F"/>
    <w:rsid w:val="008641A3"/>
    <w:rsid w:val="00864426"/>
    <w:rsid w:val="00864872"/>
    <w:rsid w:val="00864B5D"/>
    <w:rsid w:val="00864BCD"/>
    <w:rsid w:val="00865039"/>
    <w:rsid w:val="00865CFE"/>
    <w:rsid w:val="00866F84"/>
    <w:rsid w:val="00867984"/>
    <w:rsid w:val="0087002C"/>
    <w:rsid w:val="0087107E"/>
    <w:rsid w:val="00871D7A"/>
    <w:rsid w:val="0087276B"/>
    <w:rsid w:val="0087284F"/>
    <w:rsid w:val="00872AE0"/>
    <w:rsid w:val="00872FEC"/>
    <w:rsid w:val="00873723"/>
    <w:rsid w:val="00873756"/>
    <w:rsid w:val="00873A52"/>
    <w:rsid w:val="00873B9C"/>
    <w:rsid w:val="0087404F"/>
    <w:rsid w:val="00874300"/>
    <w:rsid w:val="00874565"/>
    <w:rsid w:val="0087466E"/>
    <w:rsid w:val="00874A0C"/>
    <w:rsid w:val="00874BD3"/>
    <w:rsid w:val="0087555D"/>
    <w:rsid w:val="00875877"/>
    <w:rsid w:val="00876B95"/>
    <w:rsid w:val="00877178"/>
    <w:rsid w:val="00877744"/>
    <w:rsid w:val="008809D4"/>
    <w:rsid w:val="008817B9"/>
    <w:rsid w:val="00882033"/>
    <w:rsid w:val="008824C3"/>
    <w:rsid w:val="00882664"/>
    <w:rsid w:val="008826F3"/>
    <w:rsid w:val="00883665"/>
    <w:rsid w:val="0088396C"/>
    <w:rsid w:val="00884A72"/>
    <w:rsid w:val="00884F38"/>
    <w:rsid w:val="00884F40"/>
    <w:rsid w:val="00885248"/>
    <w:rsid w:val="0088603A"/>
    <w:rsid w:val="00886F62"/>
    <w:rsid w:val="00887D79"/>
    <w:rsid w:val="0089063B"/>
    <w:rsid w:val="00890700"/>
    <w:rsid w:val="00890858"/>
    <w:rsid w:val="00890CBD"/>
    <w:rsid w:val="00891A07"/>
    <w:rsid w:val="008939AA"/>
    <w:rsid w:val="00893C07"/>
    <w:rsid w:val="008957E6"/>
    <w:rsid w:val="00895B89"/>
    <w:rsid w:val="00895FDE"/>
    <w:rsid w:val="0089662E"/>
    <w:rsid w:val="00896C1B"/>
    <w:rsid w:val="00896E2F"/>
    <w:rsid w:val="00897017"/>
    <w:rsid w:val="00897914"/>
    <w:rsid w:val="008A0691"/>
    <w:rsid w:val="008A085D"/>
    <w:rsid w:val="008A0941"/>
    <w:rsid w:val="008A1A78"/>
    <w:rsid w:val="008A1F6B"/>
    <w:rsid w:val="008A4BFF"/>
    <w:rsid w:val="008A5010"/>
    <w:rsid w:val="008A5226"/>
    <w:rsid w:val="008A5658"/>
    <w:rsid w:val="008A5D62"/>
    <w:rsid w:val="008A6BFF"/>
    <w:rsid w:val="008A7AB9"/>
    <w:rsid w:val="008B1177"/>
    <w:rsid w:val="008B1443"/>
    <w:rsid w:val="008B18C8"/>
    <w:rsid w:val="008B1BF3"/>
    <w:rsid w:val="008B2185"/>
    <w:rsid w:val="008B29BB"/>
    <w:rsid w:val="008B30F4"/>
    <w:rsid w:val="008B340E"/>
    <w:rsid w:val="008B3617"/>
    <w:rsid w:val="008B3A0B"/>
    <w:rsid w:val="008B3F89"/>
    <w:rsid w:val="008B4946"/>
    <w:rsid w:val="008B4B0A"/>
    <w:rsid w:val="008B4F02"/>
    <w:rsid w:val="008B56AC"/>
    <w:rsid w:val="008B58ED"/>
    <w:rsid w:val="008B5933"/>
    <w:rsid w:val="008B5B73"/>
    <w:rsid w:val="008B62E7"/>
    <w:rsid w:val="008B6A94"/>
    <w:rsid w:val="008B7A62"/>
    <w:rsid w:val="008B7BAB"/>
    <w:rsid w:val="008B7E08"/>
    <w:rsid w:val="008B7EE8"/>
    <w:rsid w:val="008C0A58"/>
    <w:rsid w:val="008C0DC3"/>
    <w:rsid w:val="008C2EFA"/>
    <w:rsid w:val="008C3D58"/>
    <w:rsid w:val="008C4817"/>
    <w:rsid w:val="008C4861"/>
    <w:rsid w:val="008C561F"/>
    <w:rsid w:val="008C5D60"/>
    <w:rsid w:val="008C70E8"/>
    <w:rsid w:val="008C7898"/>
    <w:rsid w:val="008D0083"/>
    <w:rsid w:val="008D00E8"/>
    <w:rsid w:val="008D13DF"/>
    <w:rsid w:val="008D14D3"/>
    <w:rsid w:val="008D182E"/>
    <w:rsid w:val="008D185E"/>
    <w:rsid w:val="008D1B61"/>
    <w:rsid w:val="008D3EFF"/>
    <w:rsid w:val="008D5002"/>
    <w:rsid w:val="008D5A04"/>
    <w:rsid w:val="008D5A27"/>
    <w:rsid w:val="008D66FA"/>
    <w:rsid w:val="008D6A4A"/>
    <w:rsid w:val="008D7139"/>
    <w:rsid w:val="008D7823"/>
    <w:rsid w:val="008E196D"/>
    <w:rsid w:val="008E1C6B"/>
    <w:rsid w:val="008E23FA"/>
    <w:rsid w:val="008E289C"/>
    <w:rsid w:val="008E2E0D"/>
    <w:rsid w:val="008E3119"/>
    <w:rsid w:val="008E37E2"/>
    <w:rsid w:val="008E39BE"/>
    <w:rsid w:val="008E41F1"/>
    <w:rsid w:val="008E4C04"/>
    <w:rsid w:val="008E567D"/>
    <w:rsid w:val="008E572E"/>
    <w:rsid w:val="008E68C2"/>
    <w:rsid w:val="008E71BA"/>
    <w:rsid w:val="008E79FD"/>
    <w:rsid w:val="008F027A"/>
    <w:rsid w:val="008F0949"/>
    <w:rsid w:val="008F0B3E"/>
    <w:rsid w:val="008F1878"/>
    <w:rsid w:val="008F1F02"/>
    <w:rsid w:val="008F2012"/>
    <w:rsid w:val="008F2125"/>
    <w:rsid w:val="008F226E"/>
    <w:rsid w:val="008F2295"/>
    <w:rsid w:val="008F2BBC"/>
    <w:rsid w:val="008F3253"/>
    <w:rsid w:val="008F3690"/>
    <w:rsid w:val="008F3AD7"/>
    <w:rsid w:val="008F3E1E"/>
    <w:rsid w:val="008F3F1F"/>
    <w:rsid w:val="008F42D2"/>
    <w:rsid w:val="008F5CD6"/>
    <w:rsid w:val="008F6FE7"/>
    <w:rsid w:val="008F7099"/>
    <w:rsid w:val="008F7469"/>
    <w:rsid w:val="008F76A0"/>
    <w:rsid w:val="008F76D4"/>
    <w:rsid w:val="008F7B5B"/>
    <w:rsid w:val="009004FE"/>
    <w:rsid w:val="00901001"/>
    <w:rsid w:val="0090108A"/>
    <w:rsid w:val="0090128C"/>
    <w:rsid w:val="0090165F"/>
    <w:rsid w:val="00901700"/>
    <w:rsid w:val="00901F2B"/>
    <w:rsid w:val="0090201D"/>
    <w:rsid w:val="00902F21"/>
    <w:rsid w:val="009032AC"/>
    <w:rsid w:val="0090386D"/>
    <w:rsid w:val="009039DB"/>
    <w:rsid w:val="00903E75"/>
    <w:rsid w:val="0090454D"/>
    <w:rsid w:val="00904DE2"/>
    <w:rsid w:val="0090552B"/>
    <w:rsid w:val="009056F0"/>
    <w:rsid w:val="009059D0"/>
    <w:rsid w:val="00905D27"/>
    <w:rsid w:val="00905E3F"/>
    <w:rsid w:val="00906569"/>
    <w:rsid w:val="00906769"/>
    <w:rsid w:val="009106A8"/>
    <w:rsid w:val="0091189C"/>
    <w:rsid w:val="009128ED"/>
    <w:rsid w:val="00912C89"/>
    <w:rsid w:val="009138D7"/>
    <w:rsid w:val="00913A6D"/>
    <w:rsid w:val="009143A5"/>
    <w:rsid w:val="00915A4D"/>
    <w:rsid w:val="00915B74"/>
    <w:rsid w:val="00915D38"/>
    <w:rsid w:val="00916026"/>
    <w:rsid w:val="00916130"/>
    <w:rsid w:val="00916BD9"/>
    <w:rsid w:val="00917492"/>
    <w:rsid w:val="00917493"/>
    <w:rsid w:val="00917979"/>
    <w:rsid w:val="00920367"/>
    <w:rsid w:val="0092058C"/>
    <w:rsid w:val="00921CD0"/>
    <w:rsid w:val="009222B1"/>
    <w:rsid w:val="00922B55"/>
    <w:rsid w:val="009236D1"/>
    <w:rsid w:val="009237FB"/>
    <w:rsid w:val="009247AA"/>
    <w:rsid w:val="00925A4E"/>
    <w:rsid w:val="00925CC4"/>
    <w:rsid w:val="00925E64"/>
    <w:rsid w:val="00926394"/>
    <w:rsid w:val="009263AE"/>
    <w:rsid w:val="00926754"/>
    <w:rsid w:val="0092696D"/>
    <w:rsid w:val="00926F94"/>
    <w:rsid w:val="009300FB"/>
    <w:rsid w:val="00930839"/>
    <w:rsid w:val="00930ACB"/>
    <w:rsid w:val="00931C7F"/>
    <w:rsid w:val="00933452"/>
    <w:rsid w:val="0093430E"/>
    <w:rsid w:val="00934BEA"/>
    <w:rsid w:val="00935B83"/>
    <w:rsid w:val="009361DB"/>
    <w:rsid w:val="009368FA"/>
    <w:rsid w:val="00936A23"/>
    <w:rsid w:val="00937B46"/>
    <w:rsid w:val="00942A86"/>
    <w:rsid w:val="00942D2A"/>
    <w:rsid w:val="00942E8F"/>
    <w:rsid w:val="00943000"/>
    <w:rsid w:val="009437D1"/>
    <w:rsid w:val="00943FE8"/>
    <w:rsid w:val="00944728"/>
    <w:rsid w:val="00944C33"/>
    <w:rsid w:val="00945328"/>
    <w:rsid w:val="00945D2B"/>
    <w:rsid w:val="009462B9"/>
    <w:rsid w:val="009509AD"/>
    <w:rsid w:val="009514A7"/>
    <w:rsid w:val="009514C9"/>
    <w:rsid w:val="009533FD"/>
    <w:rsid w:val="00953B33"/>
    <w:rsid w:val="00954658"/>
    <w:rsid w:val="00954E91"/>
    <w:rsid w:val="0095553F"/>
    <w:rsid w:val="00955DD2"/>
    <w:rsid w:val="009564F4"/>
    <w:rsid w:val="00956907"/>
    <w:rsid w:val="00957772"/>
    <w:rsid w:val="00957D76"/>
    <w:rsid w:val="00957EAA"/>
    <w:rsid w:val="00957EC5"/>
    <w:rsid w:val="009601AC"/>
    <w:rsid w:val="009603AC"/>
    <w:rsid w:val="0096068B"/>
    <w:rsid w:val="00960738"/>
    <w:rsid w:val="00962084"/>
    <w:rsid w:val="00962933"/>
    <w:rsid w:val="009629BA"/>
    <w:rsid w:val="00964902"/>
    <w:rsid w:val="00965355"/>
    <w:rsid w:val="009656C8"/>
    <w:rsid w:val="00965715"/>
    <w:rsid w:val="0096612F"/>
    <w:rsid w:val="00966D19"/>
    <w:rsid w:val="0096774C"/>
    <w:rsid w:val="00970560"/>
    <w:rsid w:val="00970B36"/>
    <w:rsid w:val="00970D59"/>
    <w:rsid w:val="009714CE"/>
    <w:rsid w:val="009719D7"/>
    <w:rsid w:val="00971ABA"/>
    <w:rsid w:val="009728DF"/>
    <w:rsid w:val="009737C2"/>
    <w:rsid w:val="00974630"/>
    <w:rsid w:val="00974918"/>
    <w:rsid w:val="00974EA7"/>
    <w:rsid w:val="009759C5"/>
    <w:rsid w:val="00976297"/>
    <w:rsid w:val="00976897"/>
    <w:rsid w:val="009771CD"/>
    <w:rsid w:val="00977B91"/>
    <w:rsid w:val="00980881"/>
    <w:rsid w:val="009813F8"/>
    <w:rsid w:val="00981883"/>
    <w:rsid w:val="009821D5"/>
    <w:rsid w:val="00982288"/>
    <w:rsid w:val="0098259D"/>
    <w:rsid w:val="00982E0C"/>
    <w:rsid w:val="00983009"/>
    <w:rsid w:val="0098347D"/>
    <w:rsid w:val="00983D9F"/>
    <w:rsid w:val="0098438B"/>
    <w:rsid w:val="00984A17"/>
    <w:rsid w:val="00984D2E"/>
    <w:rsid w:val="009861C1"/>
    <w:rsid w:val="00986A07"/>
    <w:rsid w:val="00986B45"/>
    <w:rsid w:val="00986BFC"/>
    <w:rsid w:val="00986C3F"/>
    <w:rsid w:val="00987575"/>
    <w:rsid w:val="0098775A"/>
    <w:rsid w:val="0098797C"/>
    <w:rsid w:val="009901D7"/>
    <w:rsid w:val="00990B39"/>
    <w:rsid w:val="00990B59"/>
    <w:rsid w:val="009910AD"/>
    <w:rsid w:val="00991AFE"/>
    <w:rsid w:val="009927FA"/>
    <w:rsid w:val="0099294B"/>
    <w:rsid w:val="00992E1A"/>
    <w:rsid w:val="00993416"/>
    <w:rsid w:val="009936C0"/>
    <w:rsid w:val="00993F23"/>
    <w:rsid w:val="009940B2"/>
    <w:rsid w:val="0099557B"/>
    <w:rsid w:val="00995989"/>
    <w:rsid w:val="00996498"/>
    <w:rsid w:val="00996BF6"/>
    <w:rsid w:val="00996EC0"/>
    <w:rsid w:val="009976DF"/>
    <w:rsid w:val="009A011E"/>
    <w:rsid w:val="009A1190"/>
    <w:rsid w:val="009A17EB"/>
    <w:rsid w:val="009A2834"/>
    <w:rsid w:val="009A29F8"/>
    <w:rsid w:val="009A39AE"/>
    <w:rsid w:val="009A39B4"/>
    <w:rsid w:val="009A3FD9"/>
    <w:rsid w:val="009A47F7"/>
    <w:rsid w:val="009A515A"/>
    <w:rsid w:val="009A592A"/>
    <w:rsid w:val="009A5A3F"/>
    <w:rsid w:val="009A6A2F"/>
    <w:rsid w:val="009A70AE"/>
    <w:rsid w:val="009B0204"/>
    <w:rsid w:val="009B0F4C"/>
    <w:rsid w:val="009B10C0"/>
    <w:rsid w:val="009B1A34"/>
    <w:rsid w:val="009B2624"/>
    <w:rsid w:val="009B2633"/>
    <w:rsid w:val="009B2BB2"/>
    <w:rsid w:val="009B2DBE"/>
    <w:rsid w:val="009B36FA"/>
    <w:rsid w:val="009B414E"/>
    <w:rsid w:val="009B4934"/>
    <w:rsid w:val="009B6501"/>
    <w:rsid w:val="009B71A2"/>
    <w:rsid w:val="009C07FE"/>
    <w:rsid w:val="009C0881"/>
    <w:rsid w:val="009C0A6D"/>
    <w:rsid w:val="009C0B65"/>
    <w:rsid w:val="009C36DF"/>
    <w:rsid w:val="009C4BD0"/>
    <w:rsid w:val="009C514B"/>
    <w:rsid w:val="009C55F4"/>
    <w:rsid w:val="009C5B05"/>
    <w:rsid w:val="009C5F7B"/>
    <w:rsid w:val="009C5FD6"/>
    <w:rsid w:val="009C6B5A"/>
    <w:rsid w:val="009C702B"/>
    <w:rsid w:val="009C7103"/>
    <w:rsid w:val="009C76F6"/>
    <w:rsid w:val="009C7D5F"/>
    <w:rsid w:val="009D0152"/>
    <w:rsid w:val="009D0E2A"/>
    <w:rsid w:val="009D239C"/>
    <w:rsid w:val="009D324B"/>
    <w:rsid w:val="009D34CE"/>
    <w:rsid w:val="009D4185"/>
    <w:rsid w:val="009D427E"/>
    <w:rsid w:val="009D429F"/>
    <w:rsid w:val="009D4511"/>
    <w:rsid w:val="009D4AFB"/>
    <w:rsid w:val="009D66B9"/>
    <w:rsid w:val="009D6A5E"/>
    <w:rsid w:val="009D7E39"/>
    <w:rsid w:val="009E0BFA"/>
    <w:rsid w:val="009E1847"/>
    <w:rsid w:val="009E1AFB"/>
    <w:rsid w:val="009E2D1F"/>
    <w:rsid w:val="009E3048"/>
    <w:rsid w:val="009E34D0"/>
    <w:rsid w:val="009E3ED8"/>
    <w:rsid w:val="009E4E94"/>
    <w:rsid w:val="009E5DAA"/>
    <w:rsid w:val="009E7328"/>
    <w:rsid w:val="009F0215"/>
    <w:rsid w:val="009F06D6"/>
    <w:rsid w:val="009F0A56"/>
    <w:rsid w:val="009F2067"/>
    <w:rsid w:val="009F31F0"/>
    <w:rsid w:val="009F4537"/>
    <w:rsid w:val="009F4AF6"/>
    <w:rsid w:val="009F5A11"/>
    <w:rsid w:val="009F5EE7"/>
    <w:rsid w:val="009F6057"/>
    <w:rsid w:val="009F62E0"/>
    <w:rsid w:val="009F733A"/>
    <w:rsid w:val="009F73F1"/>
    <w:rsid w:val="009F7497"/>
    <w:rsid w:val="00A00098"/>
    <w:rsid w:val="00A0029D"/>
    <w:rsid w:val="00A0075D"/>
    <w:rsid w:val="00A00840"/>
    <w:rsid w:val="00A035D7"/>
    <w:rsid w:val="00A03CCB"/>
    <w:rsid w:val="00A044D9"/>
    <w:rsid w:val="00A04585"/>
    <w:rsid w:val="00A04F08"/>
    <w:rsid w:val="00A0555C"/>
    <w:rsid w:val="00A057BC"/>
    <w:rsid w:val="00A0588B"/>
    <w:rsid w:val="00A059EE"/>
    <w:rsid w:val="00A06C5C"/>
    <w:rsid w:val="00A06D0F"/>
    <w:rsid w:val="00A06F1E"/>
    <w:rsid w:val="00A07A27"/>
    <w:rsid w:val="00A110F5"/>
    <w:rsid w:val="00A112FD"/>
    <w:rsid w:val="00A12161"/>
    <w:rsid w:val="00A130A2"/>
    <w:rsid w:val="00A136E2"/>
    <w:rsid w:val="00A1390E"/>
    <w:rsid w:val="00A13F9B"/>
    <w:rsid w:val="00A1572D"/>
    <w:rsid w:val="00A15AEC"/>
    <w:rsid w:val="00A16714"/>
    <w:rsid w:val="00A1745A"/>
    <w:rsid w:val="00A17C51"/>
    <w:rsid w:val="00A17E85"/>
    <w:rsid w:val="00A21024"/>
    <w:rsid w:val="00A215D8"/>
    <w:rsid w:val="00A220FF"/>
    <w:rsid w:val="00A2250C"/>
    <w:rsid w:val="00A22EEE"/>
    <w:rsid w:val="00A2412D"/>
    <w:rsid w:val="00A24851"/>
    <w:rsid w:val="00A25BA7"/>
    <w:rsid w:val="00A274FE"/>
    <w:rsid w:val="00A27882"/>
    <w:rsid w:val="00A27D8A"/>
    <w:rsid w:val="00A27EBE"/>
    <w:rsid w:val="00A30841"/>
    <w:rsid w:val="00A30EE1"/>
    <w:rsid w:val="00A31AF8"/>
    <w:rsid w:val="00A3213A"/>
    <w:rsid w:val="00A3238E"/>
    <w:rsid w:val="00A326A0"/>
    <w:rsid w:val="00A32C58"/>
    <w:rsid w:val="00A32F99"/>
    <w:rsid w:val="00A336BC"/>
    <w:rsid w:val="00A340E6"/>
    <w:rsid w:val="00A34DAB"/>
    <w:rsid w:val="00A34E41"/>
    <w:rsid w:val="00A35339"/>
    <w:rsid w:val="00A35382"/>
    <w:rsid w:val="00A353B3"/>
    <w:rsid w:val="00A353D1"/>
    <w:rsid w:val="00A3629D"/>
    <w:rsid w:val="00A363CB"/>
    <w:rsid w:val="00A366F4"/>
    <w:rsid w:val="00A36F7A"/>
    <w:rsid w:val="00A40249"/>
    <w:rsid w:val="00A405BD"/>
    <w:rsid w:val="00A407D1"/>
    <w:rsid w:val="00A40963"/>
    <w:rsid w:val="00A40A6D"/>
    <w:rsid w:val="00A40CAA"/>
    <w:rsid w:val="00A40F63"/>
    <w:rsid w:val="00A415FF"/>
    <w:rsid w:val="00A41AA1"/>
    <w:rsid w:val="00A42161"/>
    <w:rsid w:val="00A42BE2"/>
    <w:rsid w:val="00A42E04"/>
    <w:rsid w:val="00A44156"/>
    <w:rsid w:val="00A44314"/>
    <w:rsid w:val="00A44AA3"/>
    <w:rsid w:val="00A45A9A"/>
    <w:rsid w:val="00A45D26"/>
    <w:rsid w:val="00A46AE8"/>
    <w:rsid w:val="00A4740E"/>
    <w:rsid w:val="00A474B8"/>
    <w:rsid w:val="00A50203"/>
    <w:rsid w:val="00A50382"/>
    <w:rsid w:val="00A51343"/>
    <w:rsid w:val="00A51909"/>
    <w:rsid w:val="00A530CE"/>
    <w:rsid w:val="00A53BE2"/>
    <w:rsid w:val="00A53C7F"/>
    <w:rsid w:val="00A543ED"/>
    <w:rsid w:val="00A55998"/>
    <w:rsid w:val="00A56BA5"/>
    <w:rsid w:val="00A56E3E"/>
    <w:rsid w:val="00A57586"/>
    <w:rsid w:val="00A6049F"/>
    <w:rsid w:val="00A60640"/>
    <w:rsid w:val="00A60873"/>
    <w:rsid w:val="00A60A5F"/>
    <w:rsid w:val="00A60B3A"/>
    <w:rsid w:val="00A61417"/>
    <w:rsid w:val="00A62A14"/>
    <w:rsid w:val="00A62D32"/>
    <w:rsid w:val="00A63307"/>
    <w:rsid w:val="00A63486"/>
    <w:rsid w:val="00A63C0C"/>
    <w:rsid w:val="00A63E77"/>
    <w:rsid w:val="00A647DA"/>
    <w:rsid w:val="00A64DA3"/>
    <w:rsid w:val="00A656C8"/>
    <w:rsid w:val="00A65F18"/>
    <w:rsid w:val="00A661D2"/>
    <w:rsid w:val="00A66BE7"/>
    <w:rsid w:val="00A66EF6"/>
    <w:rsid w:val="00A66F76"/>
    <w:rsid w:val="00A67C4C"/>
    <w:rsid w:val="00A67E8D"/>
    <w:rsid w:val="00A701BC"/>
    <w:rsid w:val="00A70382"/>
    <w:rsid w:val="00A70F58"/>
    <w:rsid w:val="00A716CF"/>
    <w:rsid w:val="00A71A9E"/>
    <w:rsid w:val="00A729F3"/>
    <w:rsid w:val="00A72E67"/>
    <w:rsid w:val="00A733D9"/>
    <w:rsid w:val="00A74280"/>
    <w:rsid w:val="00A75C3E"/>
    <w:rsid w:val="00A75C47"/>
    <w:rsid w:val="00A75D07"/>
    <w:rsid w:val="00A76B4C"/>
    <w:rsid w:val="00A76E48"/>
    <w:rsid w:val="00A774C8"/>
    <w:rsid w:val="00A778B6"/>
    <w:rsid w:val="00A809B7"/>
    <w:rsid w:val="00A80E74"/>
    <w:rsid w:val="00A812AF"/>
    <w:rsid w:val="00A818A1"/>
    <w:rsid w:val="00A81C70"/>
    <w:rsid w:val="00A849F6"/>
    <w:rsid w:val="00A84C6D"/>
    <w:rsid w:val="00A853E6"/>
    <w:rsid w:val="00A85C6E"/>
    <w:rsid w:val="00A86031"/>
    <w:rsid w:val="00A86603"/>
    <w:rsid w:val="00A906B6"/>
    <w:rsid w:val="00A90874"/>
    <w:rsid w:val="00A911C8"/>
    <w:rsid w:val="00A9176B"/>
    <w:rsid w:val="00A92B69"/>
    <w:rsid w:val="00A92BDE"/>
    <w:rsid w:val="00A92D7E"/>
    <w:rsid w:val="00A93026"/>
    <w:rsid w:val="00A944F6"/>
    <w:rsid w:val="00A9489A"/>
    <w:rsid w:val="00A949E4"/>
    <w:rsid w:val="00A95607"/>
    <w:rsid w:val="00A973FA"/>
    <w:rsid w:val="00AA01C5"/>
    <w:rsid w:val="00AA0B9C"/>
    <w:rsid w:val="00AA14A9"/>
    <w:rsid w:val="00AA1A21"/>
    <w:rsid w:val="00AA2343"/>
    <w:rsid w:val="00AA34DD"/>
    <w:rsid w:val="00AA35A0"/>
    <w:rsid w:val="00AA3637"/>
    <w:rsid w:val="00AA3741"/>
    <w:rsid w:val="00AA383B"/>
    <w:rsid w:val="00AA3E15"/>
    <w:rsid w:val="00AA4FD3"/>
    <w:rsid w:val="00AA5E86"/>
    <w:rsid w:val="00AA5FD7"/>
    <w:rsid w:val="00AA620C"/>
    <w:rsid w:val="00AA7AD0"/>
    <w:rsid w:val="00AB09B0"/>
    <w:rsid w:val="00AB0B2E"/>
    <w:rsid w:val="00AB0E29"/>
    <w:rsid w:val="00AB12E8"/>
    <w:rsid w:val="00AB1AAB"/>
    <w:rsid w:val="00AB231F"/>
    <w:rsid w:val="00AB24C6"/>
    <w:rsid w:val="00AB32DB"/>
    <w:rsid w:val="00AB35A7"/>
    <w:rsid w:val="00AB3F54"/>
    <w:rsid w:val="00AB615A"/>
    <w:rsid w:val="00AB70CA"/>
    <w:rsid w:val="00AB7312"/>
    <w:rsid w:val="00AB7694"/>
    <w:rsid w:val="00AB77D0"/>
    <w:rsid w:val="00AB781E"/>
    <w:rsid w:val="00AC1116"/>
    <w:rsid w:val="00AC1A11"/>
    <w:rsid w:val="00AC1D40"/>
    <w:rsid w:val="00AC1DE7"/>
    <w:rsid w:val="00AC1FA4"/>
    <w:rsid w:val="00AC2311"/>
    <w:rsid w:val="00AC23D1"/>
    <w:rsid w:val="00AC259D"/>
    <w:rsid w:val="00AC2760"/>
    <w:rsid w:val="00AC327E"/>
    <w:rsid w:val="00AC3EF3"/>
    <w:rsid w:val="00AC4732"/>
    <w:rsid w:val="00AC4C33"/>
    <w:rsid w:val="00AC53BB"/>
    <w:rsid w:val="00AC582E"/>
    <w:rsid w:val="00AC58AA"/>
    <w:rsid w:val="00AC5AAD"/>
    <w:rsid w:val="00AC5C03"/>
    <w:rsid w:val="00AC5D56"/>
    <w:rsid w:val="00AC6E1E"/>
    <w:rsid w:val="00AC7096"/>
    <w:rsid w:val="00AC7674"/>
    <w:rsid w:val="00AD082A"/>
    <w:rsid w:val="00AD14CA"/>
    <w:rsid w:val="00AD1820"/>
    <w:rsid w:val="00AD2C68"/>
    <w:rsid w:val="00AD30A1"/>
    <w:rsid w:val="00AD384E"/>
    <w:rsid w:val="00AD38BA"/>
    <w:rsid w:val="00AD3CB9"/>
    <w:rsid w:val="00AD3FD8"/>
    <w:rsid w:val="00AD45FF"/>
    <w:rsid w:val="00AD46E1"/>
    <w:rsid w:val="00AD5916"/>
    <w:rsid w:val="00AD5DD3"/>
    <w:rsid w:val="00AE028C"/>
    <w:rsid w:val="00AE060E"/>
    <w:rsid w:val="00AE126E"/>
    <w:rsid w:val="00AE1280"/>
    <w:rsid w:val="00AE1680"/>
    <w:rsid w:val="00AE19CA"/>
    <w:rsid w:val="00AE30A4"/>
    <w:rsid w:val="00AE329F"/>
    <w:rsid w:val="00AE33BE"/>
    <w:rsid w:val="00AE37B0"/>
    <w:rsid w:val="00AE52B5"/>
    <w:rsid w:val="00AE52F1"/>
    <w:rsid w:val="00AE66B1"/>
    <w:rsid w:val="00AE6E1E"/>
    <w:rsid w:val="00AE7388"/>
    <w:rsid w:val="00AE7A2F"/>
    <w:rsid w:val="00AF00CD"/>
    <w:rsid w:val="00AF035C"/>
    <w:rsid w:val="00AF062B"/>
    <w:rsid w:val="00AF1231"/>
    <w:rsid w:val="00AF1F7C"/>
    <w:rsid w:val="00AF29B1"/>
    <w:rsid w:val="00AF2A39"/>
    <w:rsid w:val="00AF3605"/>
    <w:rsid w:val="00AF3EBE"/>
    <w:rsid w:val="00AF40A0"/>
    <w:rsid w:val="00AF5549"/>
    <w:rsid w:val="00AF7447"/>
    <w:rsid w:val="00AF7B13"/>
    <w:rsid w:val="00B000E2"/>
    <w:rsid w:val="00B0076A"/>
    <w:rsid w:val="00B01440"/>
    <w:rsid w:val="00B01CAD"/>
    <w:rsid w:val="00B01D89"/>
    <w:rsid w:val="00B01DD0"/>
    <w:rsid w:val="00B01DD9"/>
    <w:rsid w:val="00B024EB"/>
    <w:rsid w:val="00B030BF"/>
    <w:rsid w:val="00B038EE"/>
    <w:rsid w:val="00B03A1E"/>
    <w:rsid w:val="00B03D59"/>
    <w:rsid w:val="00B0496F"/>
    <w:rsid w:val="00B04B01"/>
    <w:rsid w:val="00B04CAB"/>
    <w:rsid w:val="00B05CC5"/>
    <w:rsid w:val="00B05FCE"/>
    <w:rsid w:val="00B061D0"/>
    <w:rsid w:val="00B06721"/>
    <w:rsid w:val="00B07088"/>
    <w:rsid w:val="00B07C44"/>
    <w:rsid w:val="00B1016A"/>
    <w:rsid w:val="00B1055C"/>
    <w:rsid w:val="00B10EDA"/>
    <w:rsid w:val="00B11042"/>
    <w:rsid w:val="00B12BCA"/>
    <w:rsid w:val="00B13D9E"/>
    <w:rsid w:val="00B14DF3"/>
    <w:rsid w:val="00B14E43"/>
    <w:rsid w:val="00B15B25"/>
    <w:rsid w:val="00B15CA0"/>
    <w:rsid w:val="00B15E69"/>
    <w:rsid w:val="00B17420"/>
    <w:rsid w:val="00B176F8"/>
    <w:rsid w:val="00B178FE"/>
    <w:rsid w:val="00B20D1F"/>
    <w:rsid w:val="00B218FF"/>
    <w:rsid w:val="00B22341"/>
    <w:rsid w:val="00B2380A"/>
    <w:rsid w:val="00B2385B"/>
    <w:rsid w:val="00B23ECF"/>
    <w:rsid w:val="00B245FA"/>
    <w:rsid w:val="00B25012"/>
    <w:rsid w:val="00B25C1E"/>
    <w:rsid w:val="00B25EE0"/>
    <w:rsid w:val="00B26771"/>
    <w:rsid w:val="00B268A1"/>
    <w:rsid w:val="00B26D76"/>
    <w:rsid w:val="00B27092"/>
    <w:rsid w:val="00B277D4"/>
    <w:rsid w:val="00B30700"/>
    <w:rsid w:val="00B30BA2"/>
    <w:rsid w:val="00B3172F"/>
    <w:rsid w:val="00B31B64"/>
    <w:rsid w:val="00B32763"/>
    <w:rsid w:val="00B3320B"/>
    <w:rsid w:val="00B33250"/>
    <w:rsid w:val="00B339CF"/>
    <w:rsid w:val="00B33BB6"/>
    <w:rsid w:val="00B33E8B"/>
    <w:rsid w:val="00B34069"/>
    <w:rsid w:val="00B3408B"/>
    <w:rsid w:val="00B36C07"/>
    <w:rsid w:val="00B36CFC"/>
    <w:rsid w:val="00B37079"/>
    <w:rsid w:val="00B40425"/>
    <w:rsid w:val="00B40981"/>
    <w:rsid w:val="00B4203F"/>
    <w:rsid w:val="00B42207"/>
    <w:rsid w:val="00B42890"/>
    <w:rsid w:val="00B42BAF"/>
    <w:rsid w:val="00B42CA7"/>
    <w:rsid w:val="00B4340A"/>
    <w:rsid w:val="00B43518"/>
    <w:rsid w:val="00B44B38"/>
    <w:rsid w:val="00B467C5"/>
    <w:rsid w:val="00B46970"/>
    <w:rsid w:val="00B46AB5"/>
    <w:rsid w:val="00B46AD6"/>
    <w:rsid w:val="00B475F3"/>
    <w:rsid w:val="00B50365"/>
    <w:rsid w:val="00B506BC"/>
    <w:rsid w:val="00B50900"/>
    <w:rsid w:val="00B50CCD"/>
    <w:rsid w:val="00B512E6"/>
    <w:rsid w:val="00B51567"/>
    <w:rsid w:val="00B52648"/>
    <w:rsid w:val="00B52EFD"/>
    <w:rsid w:val="00B53C1D"/>
    <w:rsid w:val="00B5413C"/>
    <w:rsid w:val="00B555A0"/>
    <w:rsid w:val="00B56158"/>
    <w:rsid w:val="00B57C3D"/>
    <w:rsid w:val="00B60508"/>
    <w:rsid w:val="00B60710"/>
    <w:rsid w:val="00B60B09"/>
    <w:rsid w:val="00B61078"/>
    <w:rsid w:val="00B6170A"/>
    <w:rsid w:val="00B61C85"/>
    <w:rsid w:val="00B635AC"/>
    <w:rsid w:val="00B63A6E"/>
    <w:rsid w:val="00B6540F"/>
    <w:rsid w:val="00B657B6"/>
    <w:rsid w:val="00B658E9"/>
    <w:rsid w:val="00B675BE"/>
    <w:rsid w:val="00B70A60"/>
    <w:rsid w:val="00B70D0D"/>
    <w:rsid w:val="00B70DA7"/>
    <w:rsid w:val="00B71C1C"/>
    <w:rsid w:val="00B7277E"/>
    <w:rsid w:val="00B728B9"/>
    <w:rsid w:val="00B735EC"/>
    <w:rsid w:val="00B74199"/>
    <w:rsid w:val="00B745D7"/>
    <w:rsid w:val="00B75876"/>
    <w:rsid w:val="00B760CE"/>
    <w:rsid w:val="00B771CB"/>
    <w:rsid w:val="00B800B7"/>
    <w:rsid w:val="00B80336"/>
    <w:rsid w:val="00B80420"/>
    <w:rsid w:val="00B8093B"/>
    <w:rsid w:val="00B80C74"/>
    <w:rsid w:val="00B816C4"/>
    <w:rsid w:val="00B8187D"/>
    <w:rsid w:val="00B81D95"/>
    <w:rsid w:val="00B820E7"/>
    <w:rsid w:val="00B823F9"/>
    <w:rsid w:val="00B82777"/>
    <w:rsid w:val="00B8298B"/>
    <w:rsid w:val="00B83915"/>
    <w:rsid w:val="00B83954"/>
    <w:rsid w:val="00B84771"/>
    <w:rsid w:val="00B856D8"/>
    <w:rsid w:val="00B856E0"/>
    <w:rsid w:val="00B8608F"/>
    <w:rsid w:val="00B86ECB"/>
    <w:rsid w:val="00B87390"/>
    <w:rsid w:val="00B87DC3"/>
    <w:rsid w:val="00B9183F"/>
    <w:rsid w:val="00B9224E"/>
    <w:rsid w:val="00B922E4"/>
    <w:rsid w:val="00B92A83"/>
    <w:rsid w:val="00B9358C"/>
    <w:rsid w:val="00B93A3C"/>
    <w:rsid w:val="00B94536"/>
    <w:rsid w:val="00B94B8B"/>
    <w:rsid w:val="00B94E77"/>
    <w:rsid w:val="00B951B0"/>
    <w:rsid w:val="00B968BE"/>
    <w:rsid w:val="00B97741"/>
    <w:rsid w:val="00B97EED"/>
    <w:rsid w:val="00BA08BD"/>
    <w:rsid w:val="00BA0B2C"/>
    <w:rsid w:val="00BA1B32"/>
    <w:rsid w:val="00BA280C"/>
    <w:rsid w:val="00BA2862"/>
    <w:rsid w:val="00BA330A"/>
    <w:rsid w:val="00BA3906"/>
    <w:rsid w:val="00BA4958"/>
    <w:rsid w:val="00BA4AEF"/>
    <w:rsid w:val="00BA69BA"/>
    <w:rsid w:val="00BA7AE2"/>
    <w:rsid w:val="00BA7CE5"/>
    <w:rsid w:val="00BB0483"/>
    <w:rsid w:val="00BB0810"/>
    <w:rsid w:val="00BB0B3A"/>
    <w:rsid w:val="00BB0D1C"/>
    <w:rsid w:val="00BB11D7"/>
    <w:rsid w:val="00BB20AE"/>
    <w:rsid w:val="00BB2187"/>
    <w:rsid w:val="00BB21C0"/>
    <w:rsid w:val="00BB2D27"/>
    <w:rsid w:val="00BB353B"/>
    <w:rsid w:val="00BB36FC"/>
    <w:rsid w:val="00BB40DA"/>
    <w:rsid w:val="00BB4340"/>
    <w:rsid w:val="00BB4341"/>
    <w:rsid w:val="00BB44F3"/>
    <w:rsid w:val="00BB5590"/>
    <w:rsid w:val="00BB59CF"/>
    <w:rsid w:val="00BB689A"/>
    <w:rsid w:val="00BB70C3"/>
    <w:rsid w:val="00BB792E"/>
    <w:rsid w:val="00BB7C76"/>
    <w:rsid w:val="00BB7E31"/>
    <w:rsid w:val="00BC027E"/>
    <w:rsid w:val="00BC0CD1"/>
    <w:rsid w:val="00BC1275"/>
    <w:rsid w:val="00BC16CC"/>
    <w:rsid w:val="00BC1AF6"/>
    <w:rsid w:val="00BC3196"/>
    <w:rsid w:val="00BC38A3"/>
    <w:rsid w:val="00BC394D"/>
    <w:rsid w:val="00BC3D22"/>
    <w:rsid w:val="00BC40A7"/>
    <w:rsid w:val="00BC40FF"/>
    <w:rsid w:val="00BC4F83"/>
    <w:rsid w:val="00BC563D"/>
    <w:rsid w:val="00BC618B"/>
    <w:rsid w:val="00BC6E3B"/>
    <w:rsid w:val="00BC7C6F"/>
    <w:rsid w:val="00BC7DDF"/>
    <w:rsid w:val="00BD0568"/>
    <w:rsid w:val="00BD07BE"/>
    <w:rsid w:val="00BD0EDA"/>
    <w:rsid w:val="00BD133B"/>
    <w:rsid w:val="00BD2175"/>
    <w:rsid w:val="00BD279E"/>
    <w:rsid w:val="00BD32FC"/>
    <w:rsid w:val="00BD48C9"/>
    <w:rsid w:val="00BD4F40"/>
    <w:rsid w:val="00BD6220"/>
    <w:rsid w:val="00BD64F8"/>
    <w:rsid w:val="00BD6D7F"/>
    <w:rsid w:val="00BD77F2"/>
    <w:rsid w:val="00BD7C37"/>
    <w:rsid w:val="00BE0481"/>
    <w:rsid w:val="00BE0BB6"/>
    <w:rsid w:val="00BE2626"/>
    <w:rsid w:val="00BE28E8"/>
    <w:rsid w:val="00BE306C"/>
    <w:rsid w:val="00BE3200"/>
    <w:rsid w:val="00BE390F"/>
    <w:rsid w:val="00BE4FA4"/>
    <w:rsid w:val="00BF0A23"/>
    <w:rsid w:val="00BF0F56"/>
    <w:rsid w:val="00BF1726"/>
    <w:rsid w:val="00BF18D3"/>
    <w:rsid w:val="00BF1AAE"/>
    <w:rsid w:val="00BF2973"/>
    <w:rsid w:val="00BF2D38"/>
    <w:rsid w:val="00BF4A4C"/>
    <w:rsid w:val="00BF5036"/>
    <w:rsid w:val="00BF50E2"/>
    <w:rsid w:val="00BF5D7C"/>
    <w:rsid w:val="00BF5E5A"/>
    <w:rsid w:val="00BF5EF3"/>
    <w:rsid w:val="00BF626C"/>
    <w:rsid w:val="00BF6290"/>
    <w:rsid w:val="00BF69A3"/>
    <w:rsid w:val="00BF76E3"/>
    <w:rsid w:val="00BF7C9E"/>
    <w:rsid w:val="00C00330"/>
    <w:rsid w:val="00C009BD"/>
    <w:rsid w:val="00C01C1B"/>
    <w:rsid w:val="00C0257D"/>
    <w:rsid w:val="00C03974"/>
    <w:rsid w:val="00C04059"/>
    <w:rsid w:val="00C04924"/>
    <w:rsid w:val="00C05391"/>
    <w:rsid w:val="00C0646E"/>
    <w:rsid w:val="00C06DA0"/>
    <w:rsid w:val="00C06EC8"/>
    <w:rsid w:val="00C07745"/>
    <w:rsid w:val="00C103B8"/>
    <w:rsid w:val="00C112DB"/>
    <w:rsid w:val="00C11E55"/>
    <w:rsid w:val="00C1469B"/>
    <w:rsid w:val="00C15AE7"/>
    <w:rsid w:val="00C15F10"/>
    <w:rsid w:val="00C160A3"/>
    <w:rsid w:val="00C162D5"/>
    <w:rsid w:val="00C1672D"/>
    <w:rsid w:val="00C1691D"/>
    <w:rsid w:val="00C17305"/>
    <w:rsid w:val="00C17B02"/>
    <w:rsid w:val="00C17FD1"/>
    <w:rsid w:val="00C207FC"/>
    <w:rsid w:val="00C2157C"/>
    <w:rsid w:val="00C21A26"/>
    <w:rsid w:val="00C21A45"/>
    <w:rsid w:val="00C222B5"/>
    <w:rsid w:val="00C224FA"/>
    <w:rsid w:val="00C227DC"/>
    <w:rsid w:val="00C231EF"/>
    <w:rsid w:val="00C232AE"/>
    <w:rsid w:val="00C234BD"/>
    <w:rsid w:val="00C2352F"/>
    <w:rsid w:val="00C24592"/>
    <w:rsid w:val="00C24814"/>
    <w:rsid w:val="00C249EA"/>
    <w:rsid w:val="00C2595C"/>
    <w:rsid w:val="00C25FC2"/>
    <w:rsid w:val="00C26011"/>
    <w:rsid w:val="00C2629B"/>
    <w:rsid w:val="00C26860"/>
    <w:rsid w:val="00C26939"/>
    <w:rsid w:val="00C26A0F"/>
    <w:rsid w:val="00C300A7"/>
    <w:rsid w:val="00C30692"/>
    <w:rsid w:val="00C31AD9"/>
    <w:rsid w:val="00C32C29"/>
    <w:rsid w:val="00C334D1"/>
    <w:rsid w:val="00C34166"/>
    <w:rsid w:val="00C347D7"/>
    <w:rsid w:val="00C34DE8"/>
    <w:rsid w:val="00C35701"/>
    <w:rsid w:val="00C36541"/>
    <w:rsid w:val="00C37660"/>
    <w:rsid w:val="00C37A11"/>
    <w:rsid w:val="00C40246"/>
    <w:rsid w:val="00C40363"/>
    <w:rsid w:val="00C42F4F"/>
    <w:rsid w:val="00C438E9"/>
    <w:rsid w:val="00C44F2E"/>
    <w:rsid w:val="00C4692E"/>
    <w:rsid w:val="00C46B9E"/>
    <w:rsid w:val="00C46CEE"/>
    <w:rsid w:val="00C47483"/>
    <w:rsid w:val="00C50E60"/>
    <w:rsid w:val="00C512EE"/>
    <w:rsid w:val="00C517A4"/>
    <w:rsid w:val="00C53407"/>
    <w:rsid w:val="00C53862"/>
    <w:rsid w:val="00C540A7"/>
    <w:rsid w:val="00C548B2"/>
    <w:rsid w:val="00C56556"/>
    <w:rsid w:val="00C57065"/>
    <w:rsid w:val="00C572F0"/>
    <w:rsid w:val="00C579FC"/>
    <w:rsid w:val="00C6098A"/>
    <w:rsid w:val="00C6116C"/>
    <w:rsid w:val="00C61DAF"/>
    <w:rsid w:val="00C61E57"/>
    <w:rsid w:val="00C6266B"/>
    <w:rsid w:val="00C6299D"/>
    <w:rsid w:val="00C62A1D"/>
    <w:rsid w:val="00C62D21"/>
    <w:rsid w:val="00C6312A"/>
    <w:rsid w:val="00C63425"/>
    <w:rsid w:val="00C635CE"/>
    <w:rsid w:val="00C63F84"/>
    <w:rsid w:val="00C64302"/>
    <w:rsid w:val="00C64D95"/>
    <w:rsid w:val="00C65593"/>
    <w:rsid w:val="00C65F50"/>
    <w:rsid w:val="00C66581"/>
    <w:rsid w:val="00C667E1"/>
    <w:rsid w:val="00C668B8"/>
    <w:rsid w:val="00C67703"/>
    <w:rsid w:val="00C67753"/>
    <w:rsid w:val="00C679C7"/>
    <w:rsid w:val="00C702D9"/>
    <w:rsid w:val="00C70FF4"/>
    <w:rsid w:val="00C713B2"/>
    <w:rsid w:val="00C73296"/>
    <w:rsid w:val="00C733FE"/>
    <w:rsid w:val="00C73582"/>
    <w:rsid w:val="00C73782"/>
    <w:rsid w:val="00C7382B"/>
    <w:rsid w:val="00C73FAB"/>
    <w:rsid w:val="00C742BD"/>
    <w:rsid w:val="00C7451B"/>
    <w:rsid w:val="00C74531"/>
    <w:rsid w:val="00C74BBB"/>
    <w:rsid w:val="00C75A5D"/>
    <w:rsid w:val="00C76186"/>
    <w:rsid w:val="00C76BB2"/>
    <w:rsid w:val="00C774A2"/>
    <w:rsid w:val="00C77567"/>
    <w:rsid w:val="00C77C9A"/>
    <w:rsid w:val="00C801A5"/>
    <w:rsid w:val="00C80C5D"/>
    <w:rsid w:val="00C80D8E"/>
    <w:rsid w:val="00C810C3"/>
    <w:rsid w:val="00C81959"/>
    <w:rsid w:val="00C8213A"/>
    <w:rsid w:val="00C825F7"/>
    <w:rsid w:val="00C82951"/>
    <w:rsid w:val="00C832F7"/>
    <w:rsid w:val="00C83363"/>
    <w:rsid w:val="00C843E0"/>
    <w:rsid w:val="00C84720"/>
    <w:rsid w:val="00C85356"/>
    <w:rsid w:val="00C854E8"/>
    <w:rsid w:val="00C85B9F"/>
    <w:rsid w:val="00C861F4"/>
    <w:rsid w:val="00C86B7F"/>
    <w:rsid w:val="00C86D3B"/>
    <w:rsid w:val="00C87488"/>
    <w:rsid w:val="00C87705"/>
    <w:rsid w:val="00C87CC0"/>
    <w:rsid w:val="00C91690"/>
    <w:rsid w:val="00C91DA8"/>
    <w:rsid w:val="00C920AB"/>
    <w:rsid w:val="00C93750"/>
    <w:rsid w:val="00C93A67"/>
    <w:rsid w:val="00C93DC4"/>
    <w:rsid w:val="00C94D73"/>
    <w:rsid w:val="00C95564"/>
    <w:rsid w:val="00C968D1"/>
    <w:rsid w:val="00C975C2"/>
    <w:rsid w:val="00C97A04"/>
    <w:rsid w:val="00CA0C1C"/>
    <w:rsid w:val="00CA0CAF"/>
    <w:rsid w:val="00CA1AC1"/>
    <w:rsid w:val="00CA1D7E"/>
    <w:rsid w:val="00CA1F9A"/>
    <w:rsid w:val="00CA389A"/>
    <w:rsid w:val="00CA42DD"/>
    <w:rsid w:val="00CA43C5"/>
    <w:rsid w:val="00CA46F8"/>
    <w:rsid w:val="00CA48B5"/>
    <w:rsid w:val="00CA4ACC"/>
    <w:rsid w:val="00CA4EFD"/>
    <w:rsid w:val="00CA5813"/>
    <w:rsid w:val="00CA7235"/>
    <w:rsid w:val="00CA730F"/>
    <w:rsid w:val="00CA7AFB"/>
    <w:rsid w:val="00CB1B5D"/>
    <w:rsid w:val="00CB1BF8"/>
    <w:rsid w:val="00CB1DCC"/>
    <w:rsid w:val="00CB238B"/>
    <w:rsid w:val="00CB3E9C"/>
    <w:rsid w:val="00CB3EC0"/>
    <w:rsid w:val="00CB43BE"/>
    <w:rsid w:val="00CB4548"/>
    <w:rsid w:val="00CB4650"/>
    <w:rsid w:val="00CB5094"/>
    <w:rsid w:val="00CB619F"/>
    <w:rsid w:val="00CB6A1F"/>
    <w:rsid w:val="00CB7328"/>
    <w:rsid w:val="00CB74A7"/>
    <w:rsid w:val="00CC02D3"/>
    <w:rsid w:val="00CC10F5"/>
    <w:rsid w:val="00CC14C5"/>
    <w:rsid w:val="00CC1ECD"/>
    <w:rsid w:val="00CC22B9"/>
    <w:rsid w:val="00CC23CE"/>
    <w:rsid w:val="00CC2C93"/>
    <w:rsid w:val="00CC2E31"/>
    <w:rsid w:val="00CC36DE"/>
    <w:rsid w:val="00CC3E60"/>
    <w:rsid w:val="00CC4B35"/>
    <w:rsid w:val="00CC4F54"/>
    <w:rsid w:val="00CC570E"/>
    <w:rsid w:val="00CC59FC"/>
    <w:rsid w:val="00CC5A03"/>
    <w:rsid w:val="00CC60DD"/>
    <w:rsid w:val="00CC65BF"/>
    <w:rsid w:val="00CC6EEE"/>
    <w:rsid w:val="00CC72B9"/>
    <w:rsid w:val="00CC78A2"/>
    <w:rsid w:val="00CC78DA"/>
    <w:rsid w:val="00CC7A46"/>
    <w:rsid w:val="00CC7DED"/>
    <w:rsid w:val="00CC7E3F"/>
    <w:rsid w:val="00CD002A"/>
    <w:rsid w:val="00CD031B"/>
    <w:rsid w:val="00CD13B2"/>
    <w:rsid w:val="00CD16E4"/>
    <w:rsid w:val="00CD1BA7"/>
    <w:rsid w:val="00CD2586"/>
    <w:rsid w:val="00CD4E5E"/>
    <w:rsid w:val="00CD4F38"/>
    <w:rsid w:val="00CD57E7"/>
    <w:rsid w:val="00CD590C"/>
    <w:rsid w:val="00CD5DE2"/>
    <w:rsid w:val="00CD665D"/>
    <w:rsid w:val="00CD7B4B"/>
    <w:rsid w:val="00CD7CC0"/>
    <w:rsid w:val="00CE046A"/>
    <w:rsid w:val="00CE0845"/>
    <w:rsid w:val="00CE0C6A"/>
    <w:rsid w:val="00CE220D"/>
    <w:rsid w:val="00CE24B4"/>
    <w:rsid w:val="00CE2E61"/>
    <w:rsid w:val="00CE3461"/>
    <w:rsid w:val="00CE4CF8"/>
    <w:rsid w:val="00CE56BA"/>
    <w:rsid w:val="00CE65DC"/>
    <w:rsid w:val="00CE71EE"/>
    <w:rsid w:val="00CE7EA1"/>
    <w:rsid w:val="00CF00FC"/>
    <w:rsid w:val="00CF0B68"/>
    <w:rsid w:val="00CF1269"/>
    <w:rsid w:val="00CF1DD4"/>
    <w:rsid w:val="00CF257E"/>
    <w:rsid w:val="00CF2767"/>
    <w:rsid w:val="00CF2C87"/>
    <w:rsid w:val="00CF3495"/>
    <w:rsid w:val="00CF39ED"/>
    <w:rsid w:val="00CF4004"/>
    <w:rsid w:val="00CF431D"/>
    <w:rsid w:val="00CF43C0"/>
    <w:rsid w:val="00CF4FE7"/>
    <w:rsid w:val="00CF58DE"/>
    <w:rsid w:val="00CF643D"/>
    <w:rsid w:val="00CF69EB"/>
    <w:rsid w:val="00CF6AA5"/>
    <w:rsid w:val="00D000C2"/>
    <w:rsid w:val="00D00A31"/>
    <w:rsid w:val="00D00F90"/>
    <w:rsid w:val="00D021CD"/>
    <w:rsid w:val="00D02B2A"/>
    <w:rsid w:val="00D02DA8"/>
    <w:rsid w:val="00D0396B"/>
    <w:rsid w:val="00D03BA5"/>
    <w:rsid w:val="00D03E29"/>
    <w:rsid w:val="00D0404C"/>
    <w:rsid w:val="00D040BC"/>
    <w:rsid w:val="00D0464A"/>
    <w:rsid w:val="00D05B2F"/>
    <w:rsid w:val="00D10023"/>
    <w:rsid w:val="00D10C66"/>
    <w:rsid w:val="00D10F52"/>
    <w:rsid w:val="00D10FE7"/>
    <w:rsid w:val="00D11499"/>
    <w:rsid w:val="00D11990"/>
    <w:rsid w:val="00D11D76"/>
    <w:rsid w:val="00D12B2B"/>
    <w:rsid w:val="00D12CEE"/>
    <w:rsid w:val="00D12FBD"/>
    <w:rsid w:val="00D1343C"/>
    <w:rsid w:val="00D13810"/>
    <w:rsid w:val="00D139B7"/>
    <w:rsid w:val="00D13AF5"/>
    <w:rsid w:val="00D13BA9"/>
    <w:rsid w:val="00D13FB5"/>
    <w:rsid w:val="00D1642B"/>
    <w:rsid w:val="00D16476"/>
    <w:rsid w:val="00D165DB"/>
    <w:rsid w:val="00D16CA6"/>
    <w:rsid w:val="00D1701B"/>
    <w:rsid w:val="00D17338"/>
    <w:rsid w:val="00D175FE"/>
    <w:rsid w:val="00D200FA"/>
    <w:rsid w:val="00D20C2F"/>
    <w:rsid w:val="00D2413C"/>
    <w:rsid w:val="00D24579"/>
    <w:rsid w:val="00D2492D"/>
    <w:rsid w:val="00D254E4"/>
    <w:rsid w:val="00D25D86"/>
    <w:rsid w:val="00D25E3D"/>
    <w:rsid w:val="00D2613E"/>
    <w:rsid w:val="00D26219"/>
    <w:rsid w:val="00D26F74"/>
    <w:rsid w:val="00D2700F"/>
    <w:rsid w:val="00D30CC9"/>
    <w:rsid w:val="00D30DBD"/>
    <w:rsid w:val="00D3122A"/>
    <w:rsid w:val="00D3127D"/>
    <w:rsid w:val="00D31399"/>
    <w:rsid w:val="00D315AC"/>
    <w:rsid w:val="00D31F79"/>
    <w:rsid w:val="00D32F89"/>
    <w:rsid w:val="00D33CEA"/>
    <w:rsid w:val="00D34356"/>
    <w:rsid w:val="00D36948"/>
    <w:rsid w:val="00D37026"/>
    <w:rsid w:val="00D37326"/>
    <w:rsid w:val="00D37E5C"/>
    <w:rsid w:val="00D40170"/>
    <w:rsid w:val="00D4072A"/>
    <w:rsid w:val="00D40FF7"/>
    <w:rsid w:val="00D4134A"/>
    <w:rsid w:val="00D42D45"/>
    <w:rsid w:val="00D43B64"/>
    <w:rsid w:val="00D43D83"/>
    <w:rsid w:val="00D43EED"/>
    <w:rsid w:val="00D44427"/>
    <w:rsid w:val="00D44D74"/>
    <w:rsid w:val="00D458CA"/>
    <w:rsid w:val="00D45F12"/>
    <w:rsid w:val="00D4642C"/>
    <w:rsid w:val="00D46DF7"/>
    <w:rsid w:val="00D4710B"/>
    <w:rsid w:val="00D47768"/>
    <w:rsid w:val="00D47AD6"/>
    <w:rsid w:val="00D47F9F"/>
    <w:rsid w:val="00D50570"/>
    <w:rsid w:val="00D51D9C"/>
    <w:rsid w:val="00D51FE0"/>
    <w:rsid w:val="00D52214"/>
    <w:rsid w:val="00D5227F"/>
    <w:rsid w:val="00D5308A"/>
    <w:rsid w:val="00D5308C"/>
    <w:rsid w:val="00D532CE"/>
    <w:rsid w:val="00D537DE"/>
    <w:rsid w:val="00D53BAC"/>
    <w:rsid w:val="00D54B9C"/>
    <w:rsid w:val="00D54CC8"/>
    <w:rsid w:val="00D54D1A"/>
    <w:rsid w:val="00D5563E"/>
    <w:rsid w:val="00D558B1"/>
    <w:rsid w:val="00D5729B"/>
    <w:rsid w:val="00D57516"/>
    <w:rsid w:val="00D57F49"/>
    <w:rsid w:val="00D604D5"/>
    <w:rsid w:val="00D6052C"/>
    <w:rsid w:val="00D607FC"/>
    <w:rsid w:val="00D60877"/>
    <w:rsid w:val="00D60C37"/>
    <w:rsid w:val="00D61FFC"/>
    <w:rsid w:val="00D62D3D"/>
    <w:rsid w:val="00D62D6D"/>
    <w:rsid w:val="00D63032"/>
    <w:rsid w:val="00D64356"/>
    <w:rsid w:val="00D64DA9"/>
    <w:rsid w:val="00D65448"/>
    <w:rsid w:val="00D65C2E"/>
    <w:rsid w:val="00D65CD5"/>
    <w:rsid w:val="00D65CDF"/>
    <w:rsid w:val="00D67880"/>
    <w:rsid w:val="00D67F28"/>
    <w:rsid w:val="00D7098D"/>
    <w:rsid w:val="00D70F14"/>
    <w:rsid w:val="00D71552"/>
    <w:rsid w:val="00D734DF"/>
    <w:rsid w:val="00D74D41"/>
    <w:rsid w:val="00D74F83"/>
    <w:rsid w:val="00D75445"/>
    <w:rsid w:val="00D759DE"/>
    <w:rsid w:val="00D77ED2"/>
    <w:rsid w:val="00D80141"/>
    <w:rsid w:val="00D82B1C"/>
    <w:rsid w:val="00D83302"/>
    <w:rsid w:val="00D838D7"/>
    <w:rsid w:val="00D84BE8"/>
    <w:rsid w:val="00D84EEE"/>
    <w:rsid w:val="00D855AC"/>
    <w:rsid w:val="00D85CF7"/>
    <w:rsid w:val="00D85E41"/>
    <w:rsid w:val="00D85E5E"/>
    <w:rsid w:val="00D86341"/>
    <w:rsid w:val="00D86AEF"/>
    <w:rsid w:val="00D87750"/>
    <w:rsid w:val="00D877B7"/>
    <w:rsid w:val="00D87824"/>
    <w:rsid w:val="00D9121A"/>
    <w:rsid w:val="00D914A1"/>
    <w:rsid w:val="00D9159E"/>
    <w:rsid w:val="00D916AA"/>
    <w:rsid w:val="00D91FA0"/>
    <w:rsid w:val="00D929D1"/>
    <w:rsid w:val="00D93168"/>
    <w:rsid w:val="00D933E4"/>
    <w:rsid w:val="00D9344E"/>
    <w:rsid w:val="00D93494"/>
    <w:rsid w:val="00D93E56"/>
    <w:rsid w:val="00D94520"/>
    <w:rsid w:val="00D956FA"/>
    <w:rsid w:val="00D9588A"/>
    <w:rsid w:val="00D95CC4"/>
    <w:rsid w:val="00D9679A"/>
    <w:rsid w:val="00D96EFF"/>
    <w:rsid w:val="00D96F6A"/>
    <w:rsid w:val="00D96FA8"/>
    <w:rsid w:val="00D97C10"/>
    <w:rsid w:val="00DA0070"/>
    <w:rsid w:val="00DA02E4"/>
    <w:rsid w:val="00DA0E7D"/>
    <w:rsid w:val="00DA1B91"/>
    <w:rsid w:val="00DA2129"/>
    <w:rsid w:val="00DA231A"/>
    <w:rsid w:val="00DA2B60"/>
    <w:rsid w:val="00DA2C8D"/>
    <w:rsid w:val="00DA31A3"/>
    <w:rsid w:val="00DA47A4"/>
    <w:rsid w:val="00DA6C20"/>
    <w:rsid w:val="00DA7055"/>
    <w:rsid w:val="00DA7FF5"/>
    <w:rsid w:val="00DB04A8"/>
    <w:rsid w:val="00DB071A"/>
    <w:rsid w:val="00DB076A"/>
    <w:rsid w:val="00DB1345"/>
    <w:rsid w:val="00DB1C59"/>
    <w:rsid w:val="00DB1CDE"/>
    <w:rsid w:val="00DB1EE8"/>
    <w:rsid w:val="00DB20D2"/>
    <w:rsid w:val="00DB24F3"/>
    <w:rsid w:val="00DB2552"/>
    <w:rsid w:val="00DB259B"/>
    <w:rsid w:val="00DB25E9"/>
    <w:rsid w:val="00DB27CB"/>
    <w:rsid w:val="00DB3B87"/>
    <w:rsid w:val="00DB492C"/>
    <w:rsid w:val="00DB5069"/>
    <w:rsid w:val="00DB5CC4"/>
    <w:rsid w:val="00DB5F75"/>
    <w:rsid w:val="00DB6B9C"/>
    <w:rsid w:val="00DC0109"/>
    <w:rsid w:val="00DC0413"/>
    <w:rsid w:val="00DC0856"/>
    <w:rsid w:val="00DC13E4"/>
    <w:rsid w:val="00DC2001"/>
    <w:rsid w:val="00DC3256"/>
    <w:rsid w:val="00DC495B"/>
    <w:rsid w:val="00DC4C13"/>
    <w:rsid w:val="00DC5149"/>
    <w:rsid w:val="00DC5938"/>
    <w:rsid w:val="00DC6192"/>
    <w:rsid w:val="00DC6271"/>
    <w:rsid w:val="00DC6346"/>
    <w:rsid w:val="00DC7DF3"/>
    <w:rsid w:val="00DC7F4A"/>
    <w:rsid w:val="00DD0A1C"/>
    <w:rsid w:val="00DD0B48"/>
    <w:rsid w:val="00DD1C36"/>
    <w:rsid w:val="00DD2D8F"/>
    <w:rsid w:val="00DD303D"/>
    <w:rsid w:val="00DD3182"/>
    <w:rsid w:val="00DD3535"/>
    <w:rsid w:val="00DD366F"/>
    <w:rsid w:val="00DD399C"/>
    <w:rsid w:val="00DD3D85"/>
    <w:rsid w:val="00DD52F1"/>
    <w:rsid w:val="00DD55C8"/>
    <w:rsid w:val="00DD567A"/>
    <w:rsid w:val="00DD5990"/>
    <w:rsid w:val="00DD5D9E"/>
    <w:rsid w:val="00DD5DDF"/>
    <w:rsid w:val="00DD5EC8"/>
    <w:rsid w:val="00DD5ED7"/>
    <w:rsid w:val="00DD618D"/>
    <w:rsid w:val="00DD6302"/>
    <w:rsid w:val="00DD64B6"/>
    <w:rsid w:val="00DD6A0E"/>
    <w:rsid w:val="00DD6B0F"/>
    <w:rsid w:val="00DD6B7B"/>
    <w:rsid w:val="00DD6BF0"/>
    <w:rsid w:val="00DD6DB1"/>
    <w:rsid w:val="00DD711E"/>
    <w:rsid w:val="00DD71C1"/>
    <w:rsid w:val="00DD76C0"/>
    <w:rsid w:val="00DD784A"/>
    <w:rsid w:val="00DE0DEC"/>
    <w:rsid w:val="00DE2838"/>
    <w:rsid w:val="00DE2852"/>
    <w:rsid w:val="00DE354D"/>
    <w:rsid w:val="00DE3BDA"/>
    <w:rsid w:val="00DE3E6D"/>
    <w:rsid w:val="00DE4EEF"/>
    <w:rsid w:val="00DE5925"/>
    <w:rsid w:val="00DE5A23"/>
    <w:rsid w:val="00DE669D"/>
    <w:rsid w:val="00DE6CEB"/>
    <w:rsid w:val="00DE6F7E"/>
    <w:rsid w:val="00DE739E"/>
    <w:rsid w:val="00DE753E"/>
    <w:rsid w:val="00DF0697"/>
    <w:rsid w:val="00DF0894"/>
    <w:rsid w:val="00DF1C45"/>
    <w:rsid w:val="00DF2D65"/>
    <w:rsid w:val="00DF44CC"/>
    <w:rsid w:val="00DF5226"/>
    <w:rsid w:val="00DF67ED"/>
    <w:rsid w:val="00DF6E30"/>
    <w:rsid w:val="00DF6FDA"/>
    <w:rsid w:val="00DF7F4F"/>
    <w:rsid w:val="00E00118"/>
    <w:rsid w:val="00E005C3"/>
    <w:rsid w:val="00E0116A"/>
    <w:rsid w:val="00E01E10"/>
    <w:rsid w:val="00E024B5"/>
    <w:rsid w:val="00E02547"/>
    <w:rsid w:val="00E02820"/>
    <w:rsid w:val="00E02BDF"/>
    <w:rsid w:val="00E034AC"/>
    <w:rsid w:val="00E03AA1"/>
    <w:rsid w:val="00E03F36"/>
    <w:rsid w:val="00E0494D"/>
    <w:rsid w:val="00E04A4F"/>
    <w:rsid w:val="00E052A8"/>
    <w:rsid w:val="00E05AB7"/>
    <w:rsid w:val="00E05E2E"/>
    <w:rsid w:val="00E05F9F"/>
    <w:rsid w:val="00E0641F"/>
    <w:rsid w:val="00E065DF"/>
    <w:rsid w:val="00E067B4"/>
    <w:rsid w:val="00E06B97"/>
    <w:rsid w:val="00E07343"/>
    <w:rsid w:val="00E073EC"/>
    <w:rsid w:val="00E075F5"/>
    <w:rsid w:val="00E07E5F"/>
    <w:rsid w:val="00E106C8"/>
    <w:rsid w:val="00E10B8A"/>
    <w:rsid w:val="00E10DC6"/>
    <w:rsid w:val="00E111BE"/>
    <w:rsid w:val="00E11410"/>
    <w:rsid w:val="00E114C7"/>
    <w:rsid w:val="00E11812"/>
    <w:rsid w:val="00E12546"/>
    <w:rsid w:val="00E131E3"/>
    <w:rsid w:val="00E13278"/>
    <w:rsid w:val="00E13C29"/>
    <w:rsid w:val="00E14025"/>
    <w:rsid w:val="00E15EDE"/>
    <w:rsid w:val="00E17048"/>
    <w:rsid w:val="00E17707"/>
    <w:rsid w:val="00E178D7"/>
    <w:rsid w:val="00E20A95"/>
    <w:rsid w:val="00E212EA"/>
    <w:rsid w:val="00E213EA"/>
    <w:rsid w:val="00E2186A"/>
    <w:rsid w:val="00E230DA"/>
    <w:rsid w:val="00E24CDA"/>
    <w:rsid w:val="00E259FE"/>
    <w:rsid w:val="00E26B3A"/>
    <w:rsid w:val="00E26B41"/>
    <w:rsid w:val="00E26CB6"/>
    <w:rsid w:val="00E276D3"/>
    <w:rsid w:val="00E27712"/>
    <w:rsid w:val="00E27AD7"/>
    <w:rsid w:val="00E27E5A"/>
    <w:rsid w:val="00E30C6A"/>
    <w:rsid w:val="00E30D05"/>
    <w:rsid w:val="00E31032"/>
    <w:rsid w:val="00E313D6"/>
    <w:rsid w:val="00E322CC"/>
    <w:rsid w:val="00E35374"/>
    <w:rsid w:val="00E35957"/>
    <w:rsid w:val="00E35B7F"/>
    <w:rsid w:val="00E35BC3"/>
    <w:rsid w:val="00E36821"/>
    <w:rsid w:val="00E371C6"/>
    <w:rsid w:val="00E3748B"/>
    <w:rsid w:val="00E37737"/>
    <w:rsid w:val="00E37FA1"/>
    <w:rsid w:val="00E409BC"/>
    <w:rsid w:val="00E42B58"/>
    <w:rsid w:val="00E43D13"/>
    <w:rsid w:val="00E44461"/>
    <w:rsid w:val="00E45528"/>
    <w:rsid w:val="00E469A7"/>
    <w:rsid w:val="00E47044"/>
    <w:rsid w:val="00E4756C"/>
    <w:rsid w:val="00E50EC5"/>
    <w:rsid w:val="00E51465"/>
    <w:rsid w:val="00E51547"/>
    <w:rsid w:val="00E522C5"/>
    <w:rsid w:val="00E52596"/>
    <w:rsid w:val="00E529C5"/>
    <w:rsid w:val="00E52C95"/>
    <w:rsid w:val="00E52FD0"/>
    <w:rsid w:val="00E536A9"/>
    <w:rsid w:val="00E53DB0"/>
    <w:rsid w:val="00E55D90"/>
    <w:rsid w:val="00E56738"/>
    <w:rsid w:val="00E57610"/>
    <w:rsid w:val="00E605AB"/>
    <w:rsid w:val="00E60FA9"/>
    <w:rsid w:val="00E61E7E"/>
    <w:rsid w:val="00E62640"/>
    <w:rsid w:val="00E62C00"/>
    <w:rsid w:val="00E63797"/>
    <w:rsid w:val="00E64827"/>
    <w:rsid w:val="00E666AB"/>
    <w:rsid w:val="00E667C9"/>
    <w:rsid w:val="00E66823"/>
    <w:rsid w:val="00E66E93"/>
    <w:rsid w:val="00E67FC0"/>
    <w:rsid w:val="00E736D0"/>
    <w:rsid w:val="00E741B2"/>
    <w:rsid w:val="00E76BE7"/>
    <w:rsid w:val="00E76D77"/>
    <w:rsid w:val="00E772BF"/>
    <w:rsid w:val="00E7791A"/>
    <w:rsid w:val="00E77B92"/>
    <w:rsid w:val="00E80B6A"/>
    <w:rsid w:val="00E81ED7"/>
    <w:rsid w:val="00E82665"/>
    <w:rsid w:val="00E83ABE"/>
    <w:rsid w:val="00E84398"/>
    <w:rsid w:val="00E8459E"/>
    <w:rsid w:val="00E855BB"/>
    <w:rsid w:val="00E858A9"/>
    <w:rsid w:val="00E85A93"/>
    <w:rsid w:val="00E875D7"/>
    <w:rsid w:val="00E900CA"/>
    <w:rsid w:val="00E90188"/>
    <w:rsid w:val="00E90529"/>
    <w:rsid w:val="00E9187E"/>
    <w:rsid w:val="00E91965"/>
    <w:rsid w:val="00E91E74"/>
    <w:rsid w:val="00E9292E"/>
    <w:rsid w:val="00E92AAB"/>
    <w:rsid w:val="00E94FBB"/>
    <w:rsid w:val="00E94FFC"/>
    <w:rsid w:val="00E95528"/>
    <w:rsid w:val="00E95C13"/>
    <w:rsid w:val="00E963BF"/>
    <w:rsid w:val="00E97143"/>
    <w:rsid w:val="00E972FD"/>
    <w:rsid w:val="00E977AC"/>
    <w:rsid w:val="00EA0758"/>
    <w:rsid w:val="00EA083F"/>
    <w:rsid w:val="00EA0DCF"/>
    <w:rsid w:val="00EA109A"/>
    <w:rsid w:val="00EA1276"/>
    <w:rsid w:val="00EA14F0"/>
    <w:rsid w:val="00EA1C8B"/>
    <w:rsid w:val="00EA2AA6"/>
    <w:rsid w:val="00EA4A04"/>
    <w:rsid w:val="00EA4E3C"/>
    <w:rsid w:val="00EA53B2"/>
    <w:rsid w:val="00EA67A5"/>
    <w:rsid w:val="00EA6884"/>
    <w:rsid w:val="00EA71B9"/>
    <w:rsid w:val="00EA7381"/>
    <w:rsid w:val="00EA7550"/>
    <w:rsid w:val="00EA76C4"/>
    <w:rsid w:val="00EA7B26"/>
    <w:rsid w:val="00EA7F4E"/>
    <w:rsid w:val="00EB16B5"/>
    <w:rsid w:val="00EB18B0"/>
    <w:rsid w:val="00EB232A"/>
    <w:rsid w:val="00EB292F"/>
    <w:rsid w:val="00EB31CB"/>
    <w:rsid w:val="00EB476D"/>
    <w:rsid w:val="00EB4B9A"/>
    <w:rsid w:val="00EB4C01"/>
    <w:rsid w:val="00EB51AB"/>
    <w:rsid w:val="00EB556A"/>
    <w:rsid w:val="00EB5C9E"/>
    <w:rsid w:val="00EB5E89"/>
    <w:rsid w:val="00EB77B9"/>
    <w:rsid w:val="00EB7BC5"/>
    <w:rsid w:val="00EC1166"/>
    <w:rsid w:val="00EC1EC8"/>
    <w:rsid w:val="00EC2503"/>
    <w:rsid w:val="00EC2CA6"/>
    <w:rsid w:val="00EC3272"/>
    <w:rsid w:val="00EC42EC"/>
    <w:rsid w:val="00EC4D20"/>
    <w:rsid w:val="00EC4E30"/>
    <w:rsid w:val="00EC5382"/>
    <w:rsid w:val="00EC5C3F"/>
    <w:rsid w:val="00EC6525"/>
    <w:rsid w:val="00EC66C1"/>
    <w:rsid w:val="00EC6896"/>
    <w:rsid w:val="00EC68DB"/>
    <w:rsid w:val="00EC68E2"/>
    <w:rsid w:val="00EC6CA3"/>
    <w:rsid w:val="00EC73A7"/>
    <w:rsid w:val="00EC7BBE"/>
    <w:rsid w:val="00ED216D"/>
    <w:rsid w:val="00ED2358"/>
    <w:rsid w:val="00ED24DE"/>
    <w:rsid w:val="00ED30FD"/>
    <w:rsid w:val="00ED325E"/>
    <w:rsid w:val="00ED329E"/>
    <w:rsid w:val="00ED36A2"/>
    <w:rsid w:val="00ED3805"/>
    <w:rsid w:val="00ED39F5"/>
    <w:rsid w:val="00ED4BED"/>
    <w:rsid w:val="00ED4F1C"/>
    <w:rsid w:val="00ED51F1"/>
    <w:rsid w:val="00ED5B8B"/>
    <w:rsid w:val="00ED5C59"/>
    <w:rsid w:val="00ED6A28"/>
    <w:rsid w:val="00ED6C57"/>
    <w:rsid w:val="00ED6CC0"/>
    <w:rsid w:val="00ED6F5E"/>
    <w:rsid w:val="00ED6FDD"/>
    <w:rsid w:val="00EE082F"/>
    <w:rsid w:val="00EE0A9C"/>
    <w:rsid w:val="00EE0DA9"/>
    <w:rsid w:val="00EE142C"/>
    <w:rsid w:val="00EE1A3C"/>
    <w:rsid w:val="00EE246D"/>
    <w:rsid w:val="00EE35C0"/>
    <w:rsid w:val="00EE36B4"/>
    <w:rsid w:val="00EE3763"/>
    <w:rsid w:val="00EE38E1"/>
    <w:rsid w:val="00EE3FB5"/>
    <w:rsid w:val="00EE4DBA"/>
    <w:rsid w:val="00EE548E"/>
    <w:rsid w:val="00EE5706"/>
    <w:rsid w:val="00EE5B5F"/>
    <w:rsid w:val="00EE67D7"/>
    <w:rsid w:val="00EE69C7"/>
    <w:rsid w:val="00EE736F"/>
    <w:rsid w:val="00EE73D5"/>
    <w:rsid w:val="00EF013E"/>
    <w:rsid w:val="00EF03A2"/>
    <w:rsid w:val="00EF0450"/>
    <w:rsid w:val="00EF07DA"/>
    <w:rsid w:val="00EF0801"/>
    <w:rsid w:val="00EF0A14"/>
    <w:rsid w:val="00EF0FBC"/>
    <w:rsid w:val="00EF2096"/>
    <w:rsid w:val="00EF2836"/>
    <w:rsid w:val="00EF2A80"/>
    <w:rsid w:val="00EF38A8"/>
    <w:rsid w:val="00EF38E2"/>
    <w:rsid w:val="00EF5486"/>
    <w:rsid w:val="00EF599D"/>
    <w:rsid w:val="00EF59F6"/>
    <w:rsid w:val="00EF5EF0"/>
    <w:rsid w:val="00EF6430"/>
    <w:rsid w:val="00EF66E3"/>
    <w:rsid w:val="00EF72D8"/>
    <w:rsid w:val="00EF75B8"/>
    <w:rsid w:val="00EF7A9D"/>
    <w:rsid w:val="00F00392"/>
    <w:rsid w:val="00F00822"/>
    <w:rsid w:val="00F009FE"/>
    <w:rsid w:val="00F00C96"/>
    <w:rsid w:val="00F01045"/>
    <w:rsid w:val="00F01AE2"/>
    <w:rsid w:val="00F01BDB"/>
    <w:rsid w:val="00F01E46"/>
    <w:rsid w:val="00F022FE"/>
    <w:rsid w:val="00F02720"/>
    <w:rsid w:val="00F02971"/>
    <w:rsid w:val="00F0446C"/>
    <w:rsid w:val="00F04687"/>
    <w:rsid w:val="00F051F9"/>
    <w:rsid w:val="00F05271"/>
    <w:rsid w:val="00F054BE"/>
    <w:rsid w:val="00F05BC6"/>
    <w:rsid w:val="00F05FC0"/>
    <w:rsid w:val="00F062BE"/>
    <w:rsid w:val="00F06D35"/>
    <w:rsid w:val="00F072B4"/>
    <w:rsid w:val="00F100AC"/>
    <w:rsid w:val="00F11491"/>
    <w:rsid w:val="00F115AC"/>
    <w:rsid w:val="00F11EDA"/>
    <w:rsid w:val="00F12D88"/>
    <w:rsid w:val="00F1337B"/>
    <w:rsid w:val="00F133BA"/>
    <w:rsid w:val="00F142A1"/>
    <w:rsid w:val="00F1474B"/>
    <w:rsid w:val="00F14910"/>
    <w:rsid w:val="00F14F9A"/>
    <w:rsid w:val="00F1687B"/>
    <w:rsid w:val="00F174FE"/>
    <w:rsid w:val="00F17617"/>
    <w:rsid w:val="00F1763D"/>
    <w:rsid w:val="00F17895"/>
    <w:rsid w:val="00F179B4"/>
    <w:rsid w:val="00F17F1B"/>
    <w:rsid w:val="00F20486"/>
    <w:rsid w:val="00F20954"/>
    <w:rsid w:val="00F219B0"/>
    <w:rsid w:val="00F23119"/>
    <w:rsid w:val="00F231C4"/>
    <w:rsid w:val="00F23534"/>
    <w:rsid w:val="00F23629"/>
    <w:rsid w:val="00F23EAF"/>
    <w:rsid w:val="00F24463"/>
    <w:rsid w:val="00F24B53"/>
    <w:rsid w:val="00F24CB7"/>
    <w:rsid w:val="00F25E48"/>
    <w:rsid w:val="00F2790E"/>
    <w:rsid w:val="00F307F4"/>
    <w:rsid w:val="00F30D35"/>
    <w:rsid w:val="00F314F1"/>
    <w:rsid w:val="00F32494"/>
    <w:rsid w:val="00F324A0"/>
    <w:rsid w:val="00F32C0C"/>
    <w:rsid w:val="00F33016"/>
    <w:rsid w:val="00F33263"/>
    <w:rsid w:val="00F33851"/>
    <w:rsid w:val="00F33C98"/>
    <w:rsid w:val="00F3436F"/>
    <w:rsid w:val="00F343FA"/>
    <w:rsid w:val="00F34694"/>
    <w:rsid w:val="00F34798"/>
    <w:rsid w:val="00F347C9"/>
    <w:rsid w:val="00F34A26"/>
    <w:rsid w:val="00F34E27"/>
    <w:rsid w:val="00F35AF2"/>
    <w:rsid w:val="00F35DDB"/>
    <w:rsid w:val="00F36662"/>
    <w:rsid w:val="00F37F0B"/>
    <w:rsid w:val="00F40581"/>
    <w:rsid w:val="00F406FA"/>
    <w:rsid w:val="00F41739"/>
    <w:rsid w:val="00F42244"/>
    <w:rsid w:val="00F42353"/>
    <w:rsid w:val="00F42747"/>
    <w:rsid w:val="00F4336B"/>
    <w:rsid w:val="00F434C0"/>
    <w:rsid w:val="00F43EEC"/>
    <w:rsid w:val="00F4433B"/>
    <w:rsid w:val="00F44C67"/>
    <w:rsid w:val="00F44FDC"/>
    <w:rsid w:val="00F4628F"/>
    <w:rsid w:val="00F504B7"/>
    <w:rsid w:val="00F51346"/>
    <w:rsid w:val="00F514F3"/>
    <w:rsid w:val="00F522C9"/>
    <w:rsid w:val="00F52495"/>
    <w:rsid w:val="00F526B2"/>
    <w:rsid w:val="00F52D96"/>
    <w:rsid w:val="00F536D9"/>
    <w:rsid w:val="00F53F18"/>
    <w:rsid w:val="00F54DEE"/>
    <w:rsid w:val="00F54F44"/>
    <w:rsid w:val="00F56CA9"/>
    <w:rsid w:val="00F57394"/>
    <w:rsid w:val="00F5740C"/>
    <w:rsid w:val="00F60477"/>
    <w:rsid w:val="00F609C6"/>
    <w:rsid w:val="00F60E69"/>
    <w:rsid w:val="00F61935"/>
    <w:rsid w:val="00F63244"/>
    <w:rsid w:val="00F6354C"/>
    <w:rsid w:val="00F639E7"/>
    <w:rsid w:val="00F63B88"/>
    <w:rsid w:val="00F64011"/>
    <w:rsid w:val="00F64460"/>
    <w:rsid w:val="00F64520"/>
    <w:rsid w:val="00F64AE9"/>
    <w:rsid w:val="00F64C75"/>
    <w:rsid w:val="00F6587F"/>
    <w:rsid w:val="00F6709B"/>
    <w:rsid w:val="00F6734D"/>
    <w:rsid w:val="00F674F8"/>
    <w:rsid w:val="00F67B0F"/>
    <w:rsid w:val="00F70754"/>
    <w:rsid w:val="00F713C5"/>
    <w:rsid w:val="00F7190D"/>
    <w:rsid w:val="00F72279"/>
    <w:rsid w:val="00F7261E"/>
    <w:rsid w:val="00F72885"/>
    <w:rsid w:val="00F73118"/>
    <w:rsid w:val="00F74693"/>
    <w:rsid w:val="00F74C26"/>
    <w:rsid w:val="00F75C91"/>
    <w:rsid w:val="00F761E8"/>
    <w:rsid w:val="00F7720A"/>
    <w:rsid w:val="00F77FFE"/>
    <w:rsid w:val="00F801B0"/>
    <w:rsid w:val="00F811D7"/>
    <w:rsid w:val="00F819FE"/>
    <w:rsid w:val="00F81F98"/>
    <w:rsid w:val="00F820BD"/>
    <w:rsid w:val="00F828A3"/>
    <w:rsid w:val="00F828B0"/>
    <w:rsid w:val="00F82E30"/>
    <w:rsid w:val="00F82F7E"/>
    <w:rsid w:val="00F83A44"/>
    <w:rsid w:val="00F83B52"/>
    <w:rsid w:val="00F83B67"/>
    <w:rsid w:val="00F83B71"/>
    <w:rsid w:val="00F84227"/>
    <w:rsid w:val="00F844B0"/>
    <w:rsid w:val="00F847B9"/>
    <w:rsid w:val="00F84DB2"/>
    <w:rsid w:val="00F85681"/>
    <w:rsid w:val="00F85887"/>
    <w:rsid w:val="00F86016"/>
    <w:rsid w:val="00F863D3"/>
    <w:rsid w:val="00F8665F"/>
    <w:rsid w:val="00F86695"/>
    <w:rsid w:val="00F86800"/>
    <w:rsid w:val="00F86DCE"/>
    <w:rsid w:val="00F874BA"/>
    <w:rsid w:val="00F87CDD"/>
    <w:rsid w:val="00F901AB"/>
    <w:rsid w:val="00F90368"/>
    <w:rsid w:val="00F916FB"/>
    <w:rsid w:val="00F91F08"/>
    <w:rsid w:val="00F9208F"/>
    <w:rsid w:val="00F926BB"/>
    <w:rsid w:val="00F92969"/>
    <w:rsid w:val="00F92A45"/>
    <w:rsid w:val="00F92CDB"/>
    <w:rsid w:val="00F943D9"/>
    <w:rsid w:val="00F97525"/>
    <w:rsid w:val="00F978A1"/>
    <w:rsid w:val="00F97B5B"/>
    <w:rsid w:val="00FA077A"/>
    <w:rsid w:val="00FA0F67"/>
    <w:rsid w:val="00FA10C3"/>
    <w:rsid w:val="00FA3C03"/>
    <w:rsid w:val="00FA4AB1"/>
    <w:rsid w:val="00FA5D11"/>
    <w:rsid w:val="00FA5EA2"/>
    <w:rsid w:val="00FA6220"/>
    <w:rsid w:val="00FA6A14"/>
    <w:rsid w:val="00FA6FE7"/>
    <w:rsid w:val="00FB0235"/>
    <w:rsid w:val="00FB0502"/>
    <w:rsid w:val="00FB139A"/>
    <w:rsid w:val="00FB15EC"/>
    <w:rsid w:val="00FB1630"/>
    <w:rsid w:val="00FB19BC"/>
    <w:rsid w:val="00FB1DA5"/>
    <w:rsid w:val="00FB249A"/>
    <w:rsid w:val="00FB2C2B"/>
    <w:rsid w:val="00FB3251"/>
    <w:rsid w:val="00FB3422"/>
    <w:rsid w:val="00FB3928"/>
    <w:rsid w:val="00FB43A8"/>
    <w:rsid w:val="00FB46C1"/>
    <w:rsid w:val="00FB5629"/>
    <w:rsid w:val="00FB5A70"/>
    <w:rsid w:val="00FB5CE5"/>
    <w:rsid w:val="00FB6339"/>
    <w:rsid w:val="00FB64E8"/>
    <w:rsid w:val="00FB6E9E"/>
    <w:rsid w:val="00FB75F5"/>
    <w:rsid w:val="00FB76AF"/>
    <w:rsid w:val="00FB76C5"/>
    <w:rsid w:val="00FC15A8"/>
    <w:rsid w:val="00FC306A"/>
    <w:rsid w:val="00FC3599"/>
    <w:rsid w:val="00FC3E94"/>
    <w:rsid w:val="00FC5237"/>
    <w:rsid w:val="00FC5706"/>
    <w:rsid w:val="00FC5B7B"/>
    <w:rsid w:val="00FC67EA"/>
    <w:rsid w:val="00FC6922"/>
    <w:rsid w:val="00FC72A4"/>
    <w:rsid w:val="00FC759B"/>
    <w:rsid w:val="00FC7B09"/>
    <w:rsid w:val="00FC7C18"/>
    <w:rsid w:val="00FD0042"/>
    <w:rsid w:val="00FD0055"/>
    <w:rsid w:val="00FD0467"/>
    <w:rsid w:val="00FD06EA"/>
    <w:rsid w:val="00FD0D90"/>
    <w:rsid w:val="00FD1CC4"/>
    <w:rsid w:val="00FD1E4C"/>
    <w:rsid w:val="00FD1F22"/>
    <w:rsid w:val="00FD2555"/>
    <w:rsid w:val="00FD258B"/>
    <w:rsid w:val="00FD2A23"/>
    <w:rsid w:val="00FD3A4B"/>
    <w:rsid w:val="00FD3D13"/>
    <w:rsid w:val="00FD3DF6"/>
    <w:rsid w:val="00FD4087"/>
    <w:rsid w:val="00FD4354"/>
    <w:rsid w:val="00FD4859"/>
    <w:rsid w:val="00FD5804"/>
    <w:rsid w:val="00FD58ED"/>
    <w:rsid w:val="00FD6703"/>
    <w:rsid w:val="00FD6C16"/>
    <w:rsid w:val="00FD6D2A"/>
    <w:rsid w:val="00FD7432"/>
    <w:rsid w:val="00FE0218"/>
    <w:rsid w:val="00FE03E5"/>
    <w:rsid w:val="00FE0E15"/>
    <w:rsid w:val="00FE13B4"/>
    <w:rsid w:val="00FE16B4"/>
    <w:rsid w:val="00FE16F4"/>
    <w:rsid w:val="00FE1B35"/>
    <w:rsid w:val="00FE2369"/>
    <w:rsid w:val="00FE27AC"/>
    <w:rsid w:val="00FE53E2"/>
    <w:rsid w:val="00FE5BBA"/>
    <w:rsid w:val="00FE6284"/>
    <w:rsid w:val="00FF070D"/>
    <w:rsid w:val="00FF07AA"/>
    <w:rsid w:val="00FF115E"/>
    <w:rsid w:val="00FF2535"/>
    <w:rsid w:val="00FF260C"/>
    <w:rsid w:val="00FF2B4B"/>
    <w:rsid w:val="00FF30B8"/>
    <w:rsid w:val="00FF311B"/>
    <w:rsid w:val="00FF3CAE"/>
    <w:rsid w:val="00FF3E1F"/>
    <w:rsid w:val="00FF4978"/>
    <w:rsid w:val="00FF4C57"/>
    <w:rsid w:val="00FF4D73"/>
    <w:rsid w:val="00FF544C"/>
    <w:rsid w:val="00FF55E8"/>
    <w:rsid w:val="00FF61FE"/>
    <w:rsid w:val="00FF667A"/>
    <w:rsid w:val="00FF7E3E"/>
    <w:rsid w:val="010859EA"/>
    <w:rsid w:val="01194C53"/>
    <w:rsid w:val="0126280F"/>
    <w:rsid w:val="01332CAD"/>
    <w:rsid w:val="013B2B96"/>
    <w:rsid w:val="016B6CCE"/>
    <w:rsid w:val="018207C5"/>
    <w:rsid w:val="01AF295D"/>
    <w:rsid w:val="01C605D4"/>
    <w:rsid w:val="01CD6F89"/>
    <w:rsid w:val="01DF1B51"/>
    <w:rsid w:val="01F50F5B"/>
    <w:rsid w:val="021549B9"/>
    <w:rsid w:val="021B603D"/>
    <w:rsid w:val="026C67B1"/>
    <w:rsid w:val="0276669C"/>
    <w:rsid w:val="02851012"/>
    <w:rsid w:val="028B6461"/>
    <w:rsid w:val="02963DFC"/>
    <w:rsid w:val="02C2537F"/>
    <w:rsid w:val="02E928E4"/>
    <w:rsid w:val="02EF1E8A"/>
    <w:rsid w:val="02F517AB"/>
    <w:rsid w:val="02F56D74"/>
    <w:rsid w:val="0316761C"/>
    <w:rsid w:val="031E47B7"/>
    <w:rsid w:val="032962BF"/>
    <w:rsid w:val="036208AE"/>
    <w:rsid w:val="03AA5402"/>
    <w:rsid w:val="03BF1583"/>
    <w:rsid w:val="03FA6A30"/>
    <w:rsid w:val="04156168"/>
    <w:rsid w:val="04291930"/>
    <w:rsid w:val="042B5143"/>
    <w:rsid w:val="043833BC"/>
    <w:rsid w:val="0452577B"/>
    <w:rsid w:val="047D473B"/>
    <w:rsid w:val="047F3A72"/>
    <w:rsid w:val="04A3117E"/>
    <w:rsid w:val="04A43656"/>
    <w:rsid w:val="04AB78FC"/>
    <w:rsid w:val="04CC3161"/>
    <w:rsid w:val="04E05B22"/>
    <w:rsid w:val="05035D5A"/>
    <w:rsid w:val="05057294"/>
    <w:rsid w:val="050E2F19"/>
    <w:rsid w:val="05190A95"/>
    <w:rsid w:val="053076DD"/>
    <w:rsid w:val="05341703"/>
    <w:rsid w:val="05423601"/>
    <w:rsid w:val="056B77C2"/>
    <w:rsid w:val="056D5163"/>
    <w:rsid w:val="05775AE1"/>
    <w:rsid w:val="05826157"/>
    <w:rsid w:val="05920268"/>
    <w:rsid w:val="05B56820"/>
    <w:rsid w:val="05BC7459"/>
    <w:rsid w:val="05CD76FE"/>
    <w:rsid w:val="05D3185F"/>
    <w:rsid w:val="060A08DA"/>
    <w:rsid w:val="060B6F2C"/>
    <w:rsid w:val="061C2D9B"/>
    <w:rsid w:val="06281404"/>
    <w:rsid w:val="062A4655"/>
    <w:rsid w:val="062B7F6E"/>
    <w:rsid w:val="063246A3"/>
    <w:rsid w:val="0633511F"/>
    <w:rsid w:val="065D35AE"/>
    <w:rsid w:val="06A9707F"/>
    <w:rsid w:val="06C02254"/>
    <w:rsid w:val="06C02E1F"/>
    <w:rsid w:val="06C040DB"/>
    <w:rsid w:val="06CE0808"/>
    <w:rsid w:val="06E23A65"/>
    <w:rsid w:val="06E66453"/>
    <w:rsid w:val="06F85085"/>
    <w:rsid w:val="070A22D3"/>
    <w:rsid w:val="073E518E"/>
    <w:rsid w:val="07583665"/>
    <w:rsid w:val="076B7B14"/>
    <w:rsid w:val="07AA0F1A"/>
    <w:rsid w:val="07B17820"/>
    <w:rsid w:val="07BD506E"/>
    <w:rsid w:val="080B5407"/>
    <w:rsid w:val="083D3697"/>
    <w:rsid w:val="084367D4"/>
    <w:rsid w:val="08553978"/>
    <w:rsid w:val="087A19F5"/>
    <w:rsid w:val="08B8138A"/>
    <w:rsid w:val="08CA47FF"/>
    <w:rsid w:val="09195451"/>
    <w:rsid w:val="09273D88"/>
    <w:rsid w:val="095D487D"/>
    <w:rsid w:val="097A1D80"/>
    <w:rsid w:val="097B64E5"/>
    <w:rsid w:val="097D0503"/>
    <w:rsid w:val="098720DC"/>
    <w:rsid w:val="09BE5DEB"/>
    <w:rsid w:val="09C35E1E"/>
    <w:rsid w:val="09CC72F5"/>
    <w:rsid w:val="09CE3A82"/>
    <w:rsid w:val="09CE546D"/>
    <w:rsid w:val="09ED2E9B"/>
    <w:rsid w:val="09F20FED"/>
    <w:rsid w:val="0A150D5D"/>
    <w:rsid w:val="0A382CFF"/>
    <w:rsid w:val="0A3B0356"/>
    <w:rsid w:val="0A462B2E"/>
    <w:rsid w:val="0A6C019B"/>
    <w:rsid w:val="0A732322"/>
    <w:rsid w:val="0A7E0FB4"/>
    <w:rsid w:val="0A871019"/>
    <w:rsid w:val="0AE011B0"/>
    <w:rsid w:val="0AE95411"/>
    <w:rsid w:val="0AEC0093"/>
    <w:rsid w:val="0AEE352A"/>
    <w:rsid w:val="0AFF049B"/>
    <w:rsid w:val="0B282060"/>
    <w:rsid w:val="0B343DF6"/>
    <w:rsid w:val="0B3B5E5F"/>
    <w:rsid w:val="0B51563C"/>
    <w:rsid w:val="0B5D195B"/>
    <w:rsid w:val="0B5D67E3"/>
    <w:rsid w:val="0B8B4EB0"/>
    <w:rsid w:val="0B963AEC"/>
    <w:rsid w:val="0BA94B16"/>
    <w:rsid w:val="0BAF1E47"/>
    <w:rsid w:val="0BBF0331"/>
    <w:rsid w:val="0BD44E40"/>
    <w:rsid w:val="0BE45BD8"/>
    <w:rsid w:val="0BEC4E88"/>
    <w:rsid w:val="0C34379A"/>
    <w:rsid w:val="0C516C1C"/>
    <w:rsid w:val="0C582216"/>
    <w:rsid w:val="0C686072"/>
    <w:rsid w:val="0C6B5870"/>
    <w:rsid w:val="0C9A283E"/>
    <w:rsid w:val="0CF02344"/>
    <w:rsid w:val="0D4504B2"/>
    <w:rsid w:val="0D466143"/>
    <w:rsid w:val="0D696247"/>
    <w:rsid w:val="0DCB468C"/>
    <w:rsid w:val="0DF1614D"/>
    <w:rsid w:val="0DF27F5A"/>
    <w:rsid w:val="0E1A4CC4"/>
    <w:rsid w:val="0E547045"/>
    <w:rsid w:val="0E5B369A"/>
    <w:rsid w:val="0E603C3C"/>
    <w:rsid w:val="0E6711FA"/>
    <w:rsid w:val="0E7D4EAB"/>
    <w:rsid w:val="0E8A0B64"/>
    <w:rsid w:val="0EB54E30"/>
    <w:rsid w:val="0EDE2BA2"/>
    <w:rsid w:val="0EE847A5"/>
    <w:rsid w:val="0EEC245C"/>
    <w:rsid w:val="0F1A3325"/>
    <w:rsid w:val="0F492A8F"/>
    <w:rsid w:val="0F4E1AD3"/>
    <w:rsid w:val="0F615EBD"/>
    <w:rsid w:val="0F692F6F"/>
    <w:rsid w:val="0F7A71DD"/>
    <w:rsid w:val="0F946813"/>
    <w:rsid w:val="0FB402A6"/>
    <w:rsid w:val="0FC33C91"/>
    <w:rsid w:val="0FDC4F63"/>
    <w:rsid w:val="10136901"/>
    <w:rsid w:val="101649EC"/>
    <w:rsid w:val="10304A87"/>
    <w:rsid w:val="103853E2"/>
    <w:rsid w:val="10425CF7"/>
    <w:rsid w:val="105A6C5C"/>
    <w:rsid w:val="1088295E"/>
    <w:rsid w:val="108A4FA0"/>
    <w:rsid w:val="10957D29"/>
    <w:rsid w:val="10976898"/>
    <w:rsid w:val="10996E3B"/>
    <w:rsid w:val="10A26997"/>
    <w:rsid w:val="10C73F7A"/>
    <w:rsid w:val="10CC411B"/>
    <w:rsid w:val="10D6730D"/>
    <w:rsid w:val="10DD6826"/>
    <w:rsid w:val="10E619CB"/>
    <w:rsid w:val="10EF6694"/>
    <w:rsid w:val="11376981"/>
    <w:rsid w:val="1159690F"/>
    <w:rsid w:val="115C1BBB"/>
    <w:rsid w:val="11600ED8"/>
    <w:rsid w:val="118C11EC"/>
    <w:rsid w:val="11904838"/>
    <w:rsid w:val="11AE2F10"/>
    <w:rsid w:val="11BA61C0"/>
    <w:rsid w:val="11C55F44"/>
    <w:rsid w:val="11DA0D7A"/>
    <w:rsid w:val="11EA721D"/>
    <w:rsid w:val="12402AC0"/>
    <w:rsid w:val="125F420A"/>
    <w:rsid w:val="12623816"/>
    <w:rsid w:val="126B25A1"/>
    <w:rsid w:val="126B352E"/>
    <w:rsid w:val="12801D25"/>
    <w:rsid w:val="12934FEE"/>
    <w:rsid w:val="12996608"/>
    <w:rsid w:val="12BC0BD5"/>
    <w:rsid w:val="12CA3D79"/>
    <w:rsid w:val="12CB10E8"/>
    <w:rsid w:val="12CD386A"/>
    <w:rsid w:val="13475901"/>
    <w:rsid w:val="13727A02"/>
    <w:rsid w:val="137D703E"/>
    <w:rsid w:val="13C311B9"/>
    <w:rsid w:val="13D03611"/>
    <w:rsid w:val="13D50C28"/>
    <w:rsid w:val="13DD5D2E"/>
    <w:rsid w:val="13E7095B"/>
    <w:rsid w:val="13FB7F7B"/>
    <w:rsid w:val="140C7563"/>
    <w:rsid w:val="143A4CC0"/>
    <w:rsid w:val="145C62B4"/>
    <w:rsid w:val="14607FC4"/>
    <w:rsid w:val="14A01236"/>
    <w:rsid w:val="14B462C0"/>
    <w:rsid w:val="14CB31D1"/>
    <w:rsid w:val="14E3080B"/>
    <w:rsid w:val="154617D1"/>
    <w:rsid w:val="154C316C"/>
    <w:rsid w:val="1553419B"/>
    <w:rsid w:val="15763D45"/>
    <w:rsid w:val="15874994"/>
    <w:rsid w:val="158F12AA"/>
    <w:rsid w:val="15A765F4"/>
    <w:rsid w:val="15C5437D"/>
    <w:rsid w:val="15F40B4D"/>
    <w:rsid w:val="16160D51"/>
    <w:rsid w:val="163D4862"/>
    <w:rsid w:val="1647626E"/>
    <w:rsid w:val="165A16FE"/>
    <w:rsid w:val="168D07B9"/>
    <w:rsid w:val="16E62588"/>
    <w:rsid w:val="16F36F0A"/>
    <w:rsid w:val="16F41113"/>
    <w:rsid w:val="16F9243A"/>
    <w:rsid w:val="170908E2"/>
    <w:rsid w:val="17184874"/>
    <w:rsid w:val="172C2ACC"/>
    <w:rsid w:val="17440C9E"/>
    <w:rsid w:val="174560C4"/>
    <w:rsid w:val="176345DE"/>
    <w:rsid w:val="17AF353E"/>
    <w:rsid w:val="17CA676A"/>
    <w:rsid w:val="18143DEC"/>
    <w:rsid w:val="182061EA"/>
    <w:rsid w:val="186270E4"/>
    <w:rsid w:val="18645249"/>
    <w:rsid w:val="188C1ADF"/>
    <w:rsid w:val="18A4506D"/>
    <w:rsid w:val="18BA24D8"/>
    <w:rsid w:val="18BD7434"/>
    <w:rsid w:val="18BE7B1B"/>
    <w:rsid w:val="18C877BF"/>
    <w:rsid w:val="18CA6774"/>
    <w:rsid w:val="18E0374C"/>
    <w:rsid w:val="18E5569C"/>
    <w:rsid w:val="18E8048A"/>
    <w:rsid w:val="18EC54BA"/>
    <w:rsid w:val="19306900"/>
    <w:rsid w:val="19691F93"/>
    <w:rsid w:val="199B18DE"/>
    <w:rsid w:val="19C332D1"/>
    <w:rsid w:val="19E40AFB"/>
    <w:rsid w:val="19E66E95"/>
    <w:rsid w:val="19EA00B8"/>
    <w:rsid w:val="1A0357C2"/>
    <w:rsid w:val="1A364C38"/>
    <w:rsid w:val="1A4771A2"/>
    <w:rsid w:val="1A732F49"/>
    <w:rsid w:val="1A9C3FFC"/>
    <w:rsid w:val="1AB10FBD"/>
    <w:rsid w:val="1AC241D2"/>
    <w:rsid w:val="1AE259D8"/>
    <w:rsid w:val="1AF745BC"/>
    <w:rsid w:val="1B012972"/>
    <w:rsid w:val="1B0B71F6"/>
    <w:rsid w:val="1B183CE5"/>
    <w:rsid w:val="1B3A4E15"/>
    <w:rsid w:val="1B6F3343"/>
    <w:rsid w:val="1B961B24"/>
    <w:rsid w:val="1B9F1C83"/>
    <w:rsid w:val="1BB94FCD"/>
    <w:rsid w:val="1BBC5A73"/>
    <w:rsid w:val="1BFF4F67"/>
    <w:rsid w:val="1C20628C"/>
    <w:rsid w:val="1C5747F5"/>
    <w:rsid w:val="1CA456D1"/>
    <w:rsid w:val="1CAB133B"/>
    <w:rsid w:val="1CB15BAB"/>
    <w:rsid w:val="1CC932F4"/>
    <w:rsid w:val="1CE92078"/>
    <w:rsid w:val="1D022362"/>
    <w:rsid w:val="1D362525"/>
    <w:rsid w:val="1D3D6311"/>
    <w:rsid w:val="1D4A3CFA"/>
    <w:rsid w:val="1DBA00D0"/>
    <w:rsid w:val="1DCB4A99"/>
    <w:rsid w:val="1E106D92"/>
    <w:rsid w:val="1E3018AD"/>
    <w:rsid w:val="1E311FD2"/>
    <w:rsid w:val="1E545ADF"/>
    <w:rsid w:val="1E580DBB"/>
    <w:rsid w:val="1E5848E1"/>
    <w:rsid w:val="1E58628A"/>
    <w:rsid w:val="1E7840F1"/>
    <w:rsid w:val="1E9F4B90"/>
    <w:rsid w:val="1EAB0F00"/>
    <w:rsid w:val="1EAE27A1"/>
    <w:rsid w:val="1F0B7BF4"/>
    <w:rsid w:val="1F1D58C3"/>
    <w:rsid w:val="1F1F09E5"/>
    <w:rsid w:val="1F311E92"/>
    <w:rsid w:val="1F3C1B5B"/>
    <w:rsid w:val="1F494BC5"/>
    <w:rsid w:val="1F504369"/>
    <w:rsid w:val="1F812C6E"/>
    <w:rsid w:val="1F851684"/>
    <w:rsid w:val="1FC62AC9"/>
    <w:rsid w:val="1FCB77DC"/>
    <w:rsid w:val="1FDD7EF1"/>
    <w:rsid w:val="20011C77"/>
    <w:rsid w:val="20132738"/>
    <w:rsid w:val="201C2AE2"/>
    <w:rsid w:val="20372A73"/>
    <w:rsid w:val="204A7926"/>
    <w:rsid w:val="20501B32"/>
    <w:rsid w:val="205253AE"/>
    <w:rsid w:val="20722ECF"/>
    <w:rsid w:val="207E41BF"/>
    <w:rsid w:val="20A74E80"/>
    <w:rsid w:val="20AB0E9C"/>
    <w:rsid w:val="20C0056A"/>
    <w:rsid w:val="20FD5F02"/>
    <w:rsid w:val="213A6817"/>
    <w:rsid w:val="21570C5C"/>
    <w:rsid w:val="216863A6"/>
    <w:rsid w:val="21705477"/>
    <w:rsid w:val="21AA1CB8"/>
    <w:rsid w:val="21AE028C"/>
    <w:rsid w:val="21B010FE"/>
    <w:rsid w:val="21C10F25"/>
    <w:rsid w:val="21DA7668"/>
    <w:rsid w:val="21F26AB5"/>
    <w:rsid w:val="22033291"/>
    <w:rsid w:val="22094842"/>
    <w:rsid w:val="220F79FB"/>
    <w:rsid w:val="2229752E"/>
    <w:rsid w:val="2250591D"/>
    <w:rsid w:val="225D256C"/>
    <w:rsid w:val="227705A4"/>
    <w:rsid w:val="22881882"/>
    <w:rsid w:val="229F4F5D"/>
    <w:rsid w:val="22B12860"/>
    <w:rsid w:val="22C368F8"/>
    <w:rsid w:val="22DB269E"/>
    <w:rsid w:val="230257EB"/>
    <w:rsid w:val="2305227E"/>
    <w:rsid w:val="232C6149"/>
    <w:rsid w:val="2358402E"/>
    <w:rsid w:val="23596BAC"/>
    <w:rsid w:val="2375525D"/>
    <w:rsid w:val="237608F9"/>
    <w:rsid w:val="23933414"/>
    <w:rsid w:val="23F724F4"/>
    <w:rsid w:val="23FE46B0"/>
    <w:rsid w:val="240510B5"/>
    <w:rsid w:val="240E3C0E"/>
    <w:rsid w:val="24282E86"/>
    <w:rsid w:val="243836E0"/>
    <w:rsid w:val="245E5A8F"/>
    <w:rsid w:val="249435F7"/>
    <w:rsid w:val="24973081"/>
    <w:rsid w:val="24CD37FE"/>
    <w:rsid w:val="24E20CF5"/>
    <w:rsid w:val="25595C34"/>
    <w:rsid w:val="258435DA"/>
    <w:rsid w:val="25A009EF"/>
    <w:rsid w:val="25A8793F"/>
    <w:rsid w:val="25B74EDF"/>
    <w:rsid w:val="25D27B07"/>
    <w:rsid w:val="25EE4205"/>
    <w:rsid w:val="26301944"/>
    <w:rsid w:val="26465D17"/>
    <w:rsid w:val="264C410C"/>
    <w:rsid w:val="26834513"/>
    <w:rsid w:val="269724DB"/>
    <w:rsid w:val="26A15E4E"/>
    <w:rsid w:val="26E51AE5"/>
    <w:rsid w:val="26F01A94"/>
    <w:rsid w:val="271909D4"/>
    <w:rsid w:val="271922C3"/>
    <w:rsid w:val="272342D5"/>
    <w:rsid w:val="272735E0"/>
    <w:rsid w:val="273256DE"/>
    <w:rsid w:val="2755685C"/>
    <w:rsid w:val="27703A10"/>
    <w:rsid w:val="277F7AA5"/>
    <w:rsid w:val="279310F5"/>
    <w:rsid w:val="279C2036"/>
    <w:rsid w:val="27CC5ECD"/>
    <w:rsid w:val="27D715B2"/>
    <w:rsid w:val="27F530B1"/>
    <w:rsid w:val="28090552"/>
    <w:rsid w:val="28171B88"/>
    <w:rsid w:val="282618D9"/>
    <w:rsid w:val="284C4221"/>
    <w:rsid w:val="28664E9E"/>
    <w:rsid w:val="286D1F56"/>
    <w:rsid w:val="287700A8"/>
    <w:rsid w:val="28B23B50"/>
    <w:rsid w:val="28D948BF"/>
    <w:rsid w:val="28EF09AC"/>
    <w:rsid w:val="294C3B5D"/>
    <w:rsid w:val="29596626"/>
    <w:rsid w:val="295C6AD8"/>
    <w:rsid w:val="29D21D62"/>
    <w:rsid w:val="29E11C7D"/>
    <w:rsid w:val="29EE7EF6"/>
    <w:rsid w:val="29FF1BF0"/>
    <w:rsid w:val="2A0B508F"/>
    <w:rsid w:val="2A1B60B7"/>
    <w:rsid w:val="2A32017C"/>
    <w:rsid w:val="2A6A035B"/>
    <w:rsid w:val="2AA717C7"/>
    <w:rsid w:val="2AA771A7"/>
    <w:rsid w:val="2AB033FD"/>
    <w:rsid w:val="2AB509A8"/>
    <w:rsid w:val="2AB66E19"/>
    <w:rsid w:val="2AB71072"/>
    <w:rsid w:val="2AC7615E"/>
    <w:rsid w:val="2AD6555A"/>
    <w:rsid w:val="2ADE5E0B"/>
    <w:rsid w:val="2AE1418E"/>
    <w:rsid w:val="2B0C0A50"/>
    <w:rsid w:val="2B1704B3"/>
    <w:rsid w:val="2B1864A9"/>
    <w:rsid w:val="2B4D1A8F"/>
    <w:rsid w:val="2B4F20B5"/>
    <w:rsid w:val="2B643314"/>
    <w:rsid w:val="2B765139"/>
    <w:rsid w:val="2B897C44"/>
    <w:rsid w:val="2B926746"/>
    <w:rsid w:val="2BB24F85"/>
    <w:rsid w:val="2BBF5FEE"/>
    <w:rsid w:val="2BDD3602"/>
    <w:rsid w:val="2C173AFE"/>
    <w:rsid w:val="2C1B13F0"/>
    <w:rsid w:val="2C400F12"/>
    <w:rsid w:val="2C45790B"/>
    <w:rsid w:val="2C4C7D75"/>
    <w:rsid w:val="2C4F5936"/>
    <w:rsid w:val="2C685E77"/>
    <w:rsid w:val="2C7B7526"/>
    <w:rsid w:val="2C8C2298"/>
    <w:rsid w:val="2C8C43C8"/>
    <w:rsid w:val="2C91650B"/>
    <w:rsid w:val="2CC912F2"/>
    <w:rsid w:val="2CD43675"/>
    <w:rsid w:val="2D013BCE"/>
    <w:rsid w:val="2D0D06AF"/>
    <w:rsid w:val="2D140992"/>
    <w:rsid w:val="2D2042D5"/>
    <w:rsid w:val="2D340833"/>
    <w:rsid w:val="2D377E06"/>
    <w:rsid w:val="2D7A60ED"/>
    <w:rsid w:val="2D8E211C"/>
    <w:rsid w:val="2DAD0763"/>
    <w:rsid w:val="2DC31699"/>
    <w:rsid w:val="2DCE63B9"/>
    <w:rsid w:val="2DE93504"/>
    <w:rsid w:val="2E281C48"/>
    <w:rsid w:val="2E2A5B50"/>
    <w:rsid w:val="2E6C53A6"/>
    <w:rsid w:val="2E76640B"/>
    <w:rsid w:val="2E8F51F4"/>
    <w:rsid w:val="2E905D0B"/>
    <w:rsid w:val="2E98738B"/>
    <w:rsid w:val="2EA049FC"/>
    <w:rsid w:val="2EB244F9"/>
    <w:rsid w:val="2EB744A6"/>
    <w:rsid w:val="2EBC5C8A"/>
    <w:rsid w:val="2EC32DA6"/>
    <w:rsid w:val="2EDF2C0B"/>
    <w:rsid w:val="2EF41DE1"/>
    <w:rsid w:val="2F0A3ECE"/>
    <w:rsid w:val="2F510852"/>
    <w:rsid w:val="2F73670D"/>
    <w:rsid w:val="2F7367AA"/>
    <w:rsid w:val="2F7E4CF2"/>
    <w:rsid w:val="2F8330AD"/>
    <w:rsid w:val="2F855FAD"/>
    <w:rsid w:val="2F8C6EAF"/>
    <w:rsid w:val="2FA32DAB"/>
    <w:rsid w:val="2FB92D54"/>
    <w:rsid w:val="2FC260AC"/>
    <w:rsid w:val="2FD25609"/>
    <w:rsid w:val="2FE6033C"/>
    <w:rsid w:val="2FED29FE"/>
    <w:rsid w:val="2FEF0DAB"/>
    <w:rsid w:val="2FF2670C"/>
    <w:rsid w:val="30086F29"/>
    <w:rsid w:val="30212BE4"/>
    <w:rsid w:val="308E5F8F"/>
    <w:rsid w:val="30923206"/>
    <w:rsid w:val="30925541"/>
    <w:rsid w:val="30C03C38"/>
    <w:rsid w:val="30FD54A2"/>
    <w:rsid w:val="31375D17"/>
    <w:rsid w:val="31597F4F"/>
    <w:rsid w:val="31607EE4"/>
    <w:rsid w:val="316C4A98"/>
    <w:rsid w:val="316C5D19"/>
    <w:rsid w:val="317F6A17"/>
    <w:rsid w:val="317F75C8"/>
    <w:rsid w:val="31801C66"/>
    <w:rsid w:val="31B859B9"/>
    <w:rsid w:val="31C50CA4"/>
    <w:rsid w:val="31CC1158"/>
    <w:rsid w:val="32012CEE"/>
    <w:rsid w:val="321E3342"/>
    <w:rsid w:val="321F643E"/>
    <w:rsid w:val="322301FD"/>
    <w:rsid w:val="32285930"/>
    <w:rsid w:val="322A2AA0"/>
    <w:rsid w:val="32510E74"/>
    <w:rsid w:val="327C5E1F"/>
    <w:rsid w:val="328C005B"/>
    <w:rsid w:val="32971FAD"/>
    <w:rsid w:val="32BF5A3F"/>
    <w:rsid w:val="32E92182"/>
    <w:rsid w:val="32FA0324"/>
    <w:rsid w:val="33274478"/>
    <w:rsid w:val="335B530C"/>
    <w:rsid w:val="33680D19"/>
    <w:rsid w:val="33807903"/>
    <w:rsid w:val="33B5090A"/>
    <w:rsid w:val="33B91574"/>
    <w:rsid w:val="33BB576C"/>
    <w:rsid w:val="33C63875"/>
    <w:rsid w:val="33E34843"/>
    <w:rsid w:val="33F1793A"/>
    <w:rsid w:val="3402348B"/>
    <w:rsid w:val="342A5E3C"/>
    <w:rsid w:val="343228B3"/>
    <w:rsid w:val="34353716"/>
    <w:rsid w:val="34384C23"/>
    <w:rsid w:val="347C4E4F"/>
    <w:rsid w:val="3489363D"/>
    <w:rsid w:val="34916690"/>
    <w:rsid w:val="34D610BF"/>
    <w:rsid w:val="34DA3DEB"/>
    <w:rsid w:val="34DF194E"/>
    <w:rsid w:val="34DF500B"/>
    <w:rsid w:val="3511217E"/>
    <w:rsid w:val="351F390A"/>
    <w:rsid w:val="353553B7"/>
    <w:rsid w:val="35355C59"/>
    <w:rsid w:val="35592478"/>
    <w:rsid w:val="355C2AFF"/>
    <w:rsid w:val="35617FA4"/>
    <w:rsid w:val="3576739C"/>
    <w:rsid w:val="35812FAF"/>
    <w:rsid w:val="35907C65"/>
    <w:rsid w:val="35D50357"/>
    <w:rsid w:val="35F54FCD"/>
    <w:rsid w:val="35FE75F8"/>
    <w:rsid w:val="35FF348B"/>
    <w:rsid w:val="3601654E"/>
    <w:rsid w:val="360F4061"/>
    <w:rsid w:val="36191D05"/>
    <w:rsid w:val="361B21AA"/>
    <w:rsid w:val="36233201"/>
    <w:rsid w:val="3633031F"/>
    <w:rsid w:val="36357EAB"/>
    <w:rsid w:val="3637465F"/>
    <w:rsid w:val="364B1582"/>
    <w:rsid w:val="365F4DCD"/>
    <w:rsid w:val="36617CA1"/>
    <w:rsid w:val="366F23BE"/>
    <w:rsid w:val="36DC1434"/>
    <w:rsid w:val="370A3BE1"/>
    <w:rsid w:val="371A0054"/>
    <w:rsid w:val="374B6987"/>
    <w:rsid w:val="376E6B1A"/>
    <w:rsid w:val="37705379"/>
    <w:rsid w:val="37781653"/>
    <w:rsid w:val="377E27F8"/>
    <w:rsid w:val="37887A0F"/>
    <w:rsid w:val="37B76FBD"/>
    <w:rsid w:val="37BB315A"/>
    <w:rsid w:val="37C624B2"/>
    <w:rsid w:val="37CA37D3"/>
    <w:rsid w:val="37CC6A8B"/>
    <w:rsid w:val="38015180"/>
    <w:rsid w:val="382965F1"/>
    <w:rsid w:val="383152B4"/>
    <w:rsid w:val="38543B77"/>
    <w:rsid w:val="38596156"/>
    <w:rsid w:val="386077BA"/>
    <w:rsid w:val="38723A2B"/>
    <w:rsid w:val="387D5266"/>
    <w:rsid w:val="38926B47"/>
    <w:rsid w:val="389B749B"/>
    <w:rsid w:val="38BD0164"/>
    <w:rsid w:val="38E36B55"/>
    <w:rsid w:val="38EF0D25"/>
    <w:rsid w:val="39037E27"/>
    <w:rsid w:val="39142B73"/>
    <w:rsid w:val="392363B8"/>
    <w:rsid w:val="39394BA1"/>
    <w:rsid w:val="394D3F45"/>
    <w:rsid w:val="395903AB"/>
    <w:rsid w:val="39641F82"/>
    <w:rsid w:val="397E0A16"/>
    <w:rsid w:val="39861EF9"/>
    <w:rsid w:val="3992227C"/>
    <w:rsid w:val="39A6248C"/>
    <w:rsid w:val="39D134BC"/>
    <w:rsid w:val="39DF0842"/>
    <w:rsid w:val="39F03A66"/>
    <w:rsid w:val="39F113BE"/>
    <w:rsid w:val="3A096A83"/>
    <w:rsid w:val="3A2A4F7A"/>
    <w:rsid w:val="3A451DB4"/>
    <w:rsid w:val="3A6E4D84"/>
    <w:rsid w:val="3A740BA5"/>
    <w:rsid w:val="3AAD3FCD"/>
    <w:rsid w:val="3AC355D1"/>
    <w:rsid w:val="3AD82730"/>
    <w:rsid w:val="3AD90E07"/>
    <w:rsid w:val="3AEA42AC"/>
    <w:rsid w:val="3B0B5234"/>
    <w:rsid w:val="3B3C3FBF"/>
    <w:rsid w:val="3B5E7D10"/>
    <w:rsid w:val="3B5F0C53"/>
    <w:rsid w:val="3B750477"/>
    <w:rsid w:val="3B7F6A35"/>
    <w:rsid w:val="3B9C4304"/>
    <w:rsid w:val="3BA2352D"/>
    <w:rsid w:val="3BE249BD"/>
    <w:rsid w:val="3C0024B0"/>
    <w:rsid w:val="3C032FD0"/>
    <w:rsid w:val="3C3C71E7"/>
    <w:rsid w:val="3C4079ED"/>
    <w:rsid w:val="3C4130A2"/>
    <w:rsid w:val="3C483C38"/>
    <w:rsid w:val="3C4F4632"/>
    <w:rsid w:val="3C5A7128"/>
    <w:rsid w:val="3C794637"/>
    <w:rsid w:val="3C8B7826"/>
    <w:rsid w:val="3C93358B"/>
    <w:rsid w:val="3C983D67"/>
    <w:rsid w:val="3CBC7C3C"/>
    <w:rsid w:val="3CC1149A"/>
    <w:rsid w:val="3CC416FD"/>
    <w:rsid w:val="3CC55536"/>
    <w:rsid w:val="3CCA65A0"/>
    <w:rsid w:val="3CCD6573"/>
    <w:rsid w:val="3D000214"/>
    <w:rsid w:val="3D006466"/>
    <w:rsid w:val="3D0A4D5D"/>
    <w:rsid w:val="3D100E35"/>
    <w:rsid w:val="3D1B504E"/>
    <w:rsid w:val="3D25588D"/>
    <w:rsid w:val="3D455764"/>
    <w:rsid w:val="3D7F7778"/>
    <w:rsid w:val="3DB03020"/>
    <w:rsid w:val="3DB14174"/>
    <w:rsid w:val="3DE31444"/>
    <w:rsid w:val="3DED5ED7"/>
    <w:rsid w:val="3DED6F17"/>
    <w:rsid w:val="3DF21C59"/>
    <w:rsid w:val="3E175815"/>
    <w:rsid w:val="3E6A003B"/>
    <w:rsid w:val="3E8B7104"/>
    <w:rsid w:val="3E8E79FA"/>
    <w:rsid w:val="3EB32FCD"/>
    <w:rsid w:val="3EC13634"/>
    <w:rsid w:val="3EC4476E"/>
    <w:rsid w:val="3EDE5E2A"/>
    <w:rsid w:val="3EF9437F"/>
    <w:rsid w:val="3F093454"/>
    <w:rsid w:val="3F173853"/>
    <w:rsid w:val="3F2D03E0"/>
    <w:rsid w:val="3F467017"/>
    <w:rsid w:val="3F5104AC"/>
    <w:rsid w:val="3F5746C4"/>
    <w:rsid w:val="3F710F55"/>
    <w:rsid w:val="3F7F588C"/>
    <w:rsid w:val="3F982925"/>
    <w:rsid w:val="3F9F2765"/>
    <w:rsid w:val="3FAE30AF"/>
    <w:rsid w:val="3FCE060D"/>
    <w:rsid w:val="3FD37CEA"/>
    <w:rsid w:val="3FEC17B2"/>
    <w:rsid w:val="400C697E"/>
    <w:rsid w:val="40105C0A"/>
    <w:rsid w:val="4012098A"/>
    <w:rsid w:val="40284FCC"/>
    <w:rsid w:val="404D09A4"/>
    <w:rsid w:val="40786663"/>
    <w:rsid w:val="40917FC2"/>
    <w:rsid w:val="409273D5"/>
    <w:rsid w:val="40981581"/>
    <w:rsid w:val="409A0980"/>
    <w:rsid w:val="40B437EF"/>
    <w:rsid w:val="40CF7CC1"/>
    <w:rsid w:val="40D1536B"/>
    <w:rsid w:val="40E8616D"/>
    <w:rsid w:val="40F5632F"/>
    <w:rsid w:val="410C362B"/>
    <w:rsid w:val="410F2288"/>
    <w:rsid w:val="412707CF"/>
    <w:rsid w:val="412F5554"/>
    <w:rsid w:val="41365AE6"/>
    <w:rsid w:val="414A57D6"/>
    <w:rsid w:val="414E1734"/>
    <w:rsid w:val="414F1991"/>
    <w:rsid w:val="41775ADE"/>
    <w:rsid w:val="4195502A"/>
    <w:rsid w:val="419E7FFC"/>
    <w:rsid w:val="41D86DDF"/>
    <w:rsid w:val="41F6567B"/>
    <w:rsid w:val="42025C40"/>
    <w:rsid w:val="420C31B7"/>
    <w:rsid w:val="423E5C97"/>
    <w:rsid w:val="426C4390"/>
    <w:rsid w:val="42C56C42"/>
    <w:rsid w:val="42C959C9"/>
    <w:rsid w:val="42D261AF"/>
    <w:rsid w:val="432804C5"/>
    <w:rsid w:val="434D100C"/>
    <w:rsid w:val="437B6846"/>
    <w:rsid w:val="43860A99"/>
    <w:rsid w:val="4387343D"/>
    <w:rsid w:val="438C2E34"/>
    <w:rsid w:val="4393046C"/>
    <w:rsid w:val="43985524"/>
    <w:rsid w:val="43997338"/>
    <w:rsid w:val="43A23112"/>
    <w:rsid w:val="43D06078"/>
    <w:rsid w:val="43E44034"/>
    <w:rsid w:val="440C54E6"/>
    <w:rsid w:val="44167F08"/>
    <w:rsid w:val="441D556D"/>
    <w:rsid w:val="442F13DF"/>
    <w:rsid w:val="44397DBD"/>
    <w:rsid w:val="443A3142"/>
    <w:rsid w:val="444F6C53"/>
    <w:rsid w:val="44625310"/>
    <w:rsid w:val="4477531B"/>
    <w:rsid w:val="44F45D03"/>
    <w:rsid w:val="450F36EA"/>
    <w:rsid w:val="452000D4"/>
    <w:rsid w:val="45307844"/>
    <w:rsid w:val="4541783B"/>
    <w:rsid w:val="457E4AB1"/>
    <w:rsid w:val="45837C34"/>
    <w:rsid w:val="45A361BD"/>
    <w:rsid w:val="45A81449"/>
    <w:rsid w:val="45CA62C0"/>
    <w:rsid w:val="45D11CE1"/>
    <w:rsid w:val="45F35520"/>
    <w:rsid w:val="461340D3"/>
    <w:rsid w:val="46277EEF"/>
    <w:rsid w:val="465F6892"/>
    <w:rsid w:val="46F012F9"/>
    <w:rsid w:val="471B7567"/>
    <w:rsid w:val="476168B7"/>
    <w:rsid w:val="478D5E0D"/>
    <w:rsid w:val="478E34F7"/>
    <w:rsid w:val="478E6650"/>
    <w:rsid w:val="47B53CCA"/>
    <w:rsid w:val="47E9342E"/>
    <w:rsid w:val="47F93407"/>
    <w:rsid w:val="481E7F68"/>
    <w:rsid w:val="48481B72"/>
    <w:rsid w:val="484D0954"/>
    <w:rsid w:val="48624C3F"/>
    <w:rsid w:val="486E0728"/>
    <w:rsid w:val="487C6ADD"/>
    <w:rsid w:val="488240F0"/>
    <w:rsid w:val="48833772"/>
    <w:rsid w:val="488E772A"/>
    <w:rsid w:val="48921329"/>
    <w:rsid w:val="489333E5"/>
    <w:rsid w:val="489C5BF0"/>
    <w:rsid w:val="48A31ACE"/>
    <w:rsid w:val="48AC5A8E"/>
    <w:rsid w:val="48D03190"/>
    <w:rsid w:val="48D12323"/>
    <w:rsid w:val="49106A49"/>
    <w:rsid w:val="49292013"/>
    <w:rsid w:val="493C1E29"/>
    <w:rsid w:val="49594240"/>
    <w:rsid w:val="498B70B7"/>
    <w:rsid w:val="4996112C"/>
    <w:rsid w:val="49CA5B0E"/>
    <w:rsid w:val="49D91DBF"/>
    <w:rsid w:val="49E50EBD"/>
    <w:rsid w:val="4A027531"/>
    <w:rsid w:val="4A1B2F23"/>
    <w:rsid w:val="4A4F65E7"/>
    <w:rsid w:val="4A8D2F72"/>
    <w:rsid w:val="4AA60737"/>
    <w:rsid w:val="4ACB1569"/>
    <w:rsid w:val="4AE03433"/>
    <w:rsid w:val="4AF6169A"/>
    <w:rsid w:val="4B11098D"/>
    <w:rsid w:val="4B3875B9"/>
    <w:rsid w:val="4B3D5A20"/>
    <w:rsid w:val="4B4B58C1"/>
    <w:rsid w:val="4B5B384B"/>
    <w:rsid w:val="4B6B2D41"/>
    <w:rsid w:val="4B6B33B0"/>
    <w:rsid w:val="4B83273C"/>
    <w:rsid w:val="4BA235A1"/>
    <w:rsid w:val="4BA32401"/>
    <w:rsid w:val="4BAA0B9B"/>
    <w:rsid w:val="4BD140F0"/>
    <w:rsid w:val="4BE8149F"/>
    <w:rsid w:val="4C284257"/>
    <w:rsid w:val="4C2F6420"/>
    <w:rsid w:val="4C5F31B8"/>
    <w:rsid w:val="4CA579EB"/>
    <w:rsid w:val="4CA87FCD"/>
    <w:rsid w:val="4CB1136B"/>
    <w:rsid w:val="4CB22E63"/>
    <w:rsid w:val="4CF5766A"/>
    <w:rsid w:val="4D016F7C"/>
    <w:rsid w:val="4D1063F3"/>
    <w:rsid w:val="4D305D10"/>
    <w:rsid w:val="4D3D0320"/>
    <w:rsid w:val="4D461C73"/>
    <w:rsid w:val="4D8846EE"/>
    <w:rsid w:val="4D8E11B0"/>
    <w:rsid w:val="4D906A42"/>
    <w:rsid w:val="4D980A6B"/>
    <w:rsid w:val="4DA62F5C"/>
    <w:rsid w:val="4DA65EA0"/>
    <w:rsid w:val="4DAE6B46"/>
    <w:rsid w:val="4DC956FA"/>
    <w:rsid w:val="4DE559C4"/>
    <w:rsid w:val="4E113465"/>
    <w:rsid w:val="4E347D1E"/>
    <w:rsid w:val="4E3C216B"/>
    <w:rsid w:val="4E4759CC"/>
    <w:rsid w:val="4E803FA3"/>
    <w:rsid w:val="4E8B0206"/>
    <w:rsid w:val="4E991F16"/>
    <w:rsid w:val="4EA23C15"/>
    <w:rsid w:val="4EAD0101"/>
    <w:rsid w:val="4ED90559"/>
    <w:rsid w:val="4EE2777A"/>
    <w:rsid w:val="4EE73ABA"/>
    <w:rsid w:val="4EFA2DBA"/>
    <w:rsid w:val="4EFD549F"/>
    <w:rsid w:val="4F10466F"/>
    <w:rsid w:val="4F5179F4"/>
    <w:rsid w:val="4F560168"/>
    <w:rsid w:val="4F7E001E"/>
    <w:rsid w:val="4F95534D"/>
    <w:rsid w:val="4F9A1B6D"/>
    <w:rsid w:val="4F9A5908"/>
    <w:rsid w:val="4FA455C9"/>
    <w:rsid w:val="4FAF1F30"/>
    <w:rsid w:val="4FCB46C6"/>
    <w:rsid w:val="4FD87E46"/>
    <w:rsid w:val="4FED287A"/>
    <w:rsid w:val="50117E22"/>
    <w:rsid w:val="502502A3"/>
    <w:rsid w:val="502F3F1C"/>
    <w:rsid w:val="503154CB"/>
    <w:rsid w:val="503B1924"/>
    <w:rsid w:val="50494AFA"/>
    <w:rsid w:val="504D351C"/>
    <w:rsid w:val="50970AEF"/>
    <w:rsid w:val="50BB7EA0"/>
    <w:rsid w:val="50E963A6"/>
    <w:rsid w:val="50F37BAE"/>
    <w:rsid w:val="5100038B"/>
    <w:rsid w:val="510C4872"/>
    <w:rsid w:val="512C2F2E"/>
    <w:rsid w:val="513D5FD4"/>
    <w:rsid w:val="51535F9A"/>
    <w:rsid w:val="515D2F87"/>
    <w:rsid w:val="517448D5"/>
    <w:rsid w:val="519F230E"/>
    <w:rsid w:val="51B318A1"/>
    <w:rsid w:val="51EC55FC"/>
    <w:rsid w:val="51EF0FF3"/>
    <w:rsid w:val="51EF2724"/>
    <w:rsid w:val="520774F7"/>
    <w:rsid w:val="521D6D9E"/>
    <w:rsid w:val="522361E2"/>
    <w:rsid w:val="524F0AD4"/>
    <w:rsid w:val="525A4842"/>
    <w:rsid w:val="528B59B4"/>
    <w:rsid w:val="528D3EA0"/>
    <w:rsid w:val="529929FC"/>
    <w:rsid w:val="529D6869"/>
    <w:rsid w:val="52AF15A1"/>
    <w:rsid w:val="52B32FFE"/>
    <w:rsid w:val="52BD182F"/>
    <w:rsid w:val="52C60FBB"/>
    <w:rsid w:val="52E63A37"/>
    <w:rsid w:val="53035880"/>
    <w:rsid w:val="536C73F7"/>
    <w:rsid w:val="53AD1D3B"/>
    <w:rsid w:val="53B5488A"/>
    <w:rsid w:val="54040192"/>
    <w:rsid w:val="54120B01"/>
    <w:rsid w:val="541A1764"/>
    <w:rsid w:val="54212AF2"/>
    <w:rsid w:val="54266B3E"/>
    <w:rsid w:val="54345897"/>
    <w:rsid w:val="54494661"/>
    <w:rsid w:val="544D113C"/>
    <w:rsid w:val="54815C87"/>
    <w:rsid w:val="5489304E"/>
    <w:rsid w:val="549F1BDA"/>
    <w:rsid w:val="54A96227"/>
    <w:rsid w:val="54DA7145"/>
    <w:rsid w:val="54DC0C75"/>
    <w:rsid w:val="54E702A4"/>
    <w:rsid w:val="55175634"/>
    <w:rsid w:val="55306D65"/>
    <w:rsid w:val="55366E26"/>
    <w:rsid w:val="55413611"/>
    <w:rsid w:val="5542796C"/>
    <w:rsid w:val="555739E3"/>
    <w:rsid w:val="55687176"/>
    <w:rsid w:val="55B27FA6"/>
    <w:rsid w:val="55B362B3"/>
    <w:rsid w:val="55D91000"/>
    <w:rsid w:val="55DD0C9B"/>
    <w:rsid w:val="56050412"/>
    <w:rsid w:val="56365413"/>
    <w:rsid w:val="563B03DF"/>
    <w:rsid w:val="5679659E"/>
    <w:rsid w:val="568B7541"/>
    <w:rsid w:val="568E5460"/>
    <w:rsid w:val="569D373D"/>
    <w:rsid w:val="56BC13C9"/>
    <w:rsid w:val="56CD0E29"/>
    <w:rsid w:val="56DB5538"/>
    <w:rsid w:val="56DB7841"/>
    <w:rsid w:val="56DD2987"/>
    <w:rsid w:val="56E878F7"/>
    <w:rsid w:val="56F0776B"/>
    <w:rsid w:val="56F55671"/>
    <w:rsid w:val="56F97D56"/>
    <w:rsid w:val="57096F86"/>
    <w:rsid w:val="571E64BC"/>
    <w:rsid w:val="57407156"/>
    <w:rsid w:val="576136D0"/>
    <w:rsid w:val="576F5E74"/>
    <w:rsid w:val="577B076B"/>
    <w:rsid w:val="57B46BCF"/>
    <w:rsid w:val="57C26C0A"/>
    <w:rsid w:val="57D26DC6"/>
    <w:rsid w:val="57F64296"/>
    <w:rsid w:val="57FB4711"/>
    <w:rsid w:val="58117322"/>
    <w:rsid w:val="585232D6"/>
    <w:rsid w:val="5875165E"/>
    <w:rsid w:val="587A4A03"/>
    <w:rsid w:val="587B1DD4"/>
    <w:rsid w:val="58872F33"/>
    <w:rsid w:val="5896478A"/>
    <w:rsid w:val="589E16F5"/>
    <w:rsid w:val="58E96C90"/>
    <w:rsid w:val="59344431"/>
    <w:rsid w:val="596B0C63"/>
    <w:rsid w:val="597653F2"/>
    <w:rsid w:val="5990558A"/>
    <w:rsid w:val="59A44170"/>
    <w:rsid w:val="59B3187D"/>
    <w:rsid w:val="59C54F87"/>
    <w:rsid w:val="59D07774"/>
    <w:rsid w:val="59D964BE"/>
    <w:rsid w:val="59DD2586"/>
    <w:rsid w:val="59DD65B2"/>
    <w:rsid w:val="59E8584B"/>
    <w:rsid w:val="59ED3704"/>
    <w:rsid w:val="59EF3218"/>
    <w:rsid w:val="59EF60A0"/>
    <w:rsid w:val="59F67BEB"/>
    <w:rsid w:val="5A1D3D5C"/>
    <w:rsid w:val="5A3B2434"/>
    <w:rsid w:val="5A655905"/>
    <w:rsid w:val="5A7E49EF"/>
    <w:rsid w:val="5A830E59"/>
    <w:rsid w:val="5A84306C"/>
    <w:rsid w:val="5A86042E"/>
    <w:rsid w:val="5A8F1652"/>
    <w:rsid w:val="5AA56720"/>
    <w:rsid w:val="5ABF4735"/>
    <w:rsid w:val="5ADC7773"/>
    <w:rsid w:val="5AEB6DC0"/>
    <w:rsid w:val="5AFC692F"/>
    <w:rsid w:val="5B1C69E4"/>
    <w:rsid w:val="5B3550D5"/>
    <w:rsid w:val="5B487719"/>
    <w:rsid w:val="5B4D6DC6"/>
    <w:rsid w:val="5B527A35"/>
    <w:rsid w:val="5B874B4B"/>
    <w:rsid w:val="5B8C04FB"/>
    <w:rsid w:val="5B9F5833"/>
    <w:rsid w:val="5BA77A4B"/>
    <w:rsid w:val="5BBA3D2D"/>
    <w:rsid w:val="5BC53153"/>
    <w:rsid w:val="5BCC13FD"/>
    <w:rsid w:val="5C180C7F"/>
    <w:rsid w:val="5C183840"/>
    <w:rsid w:val="5C2A09B2"/>
    <w:rsid w:val="5C4F0418"/>
    <w:rsid w:val="5C523E26"/>
    <w:rsid w:val="5C537F09"/>
    <w:rsid w:val="5C8C5D05"/>
    <w:rsid w:val="5C983875"/>
    <w:rsid w:val="5C983B6D"/>
    <w:rsid w:val="5CA01978"/>
    <w:rsid w:val="5CA97B29"/>
    <w:rsid w:val="5CC2204C"/>
    <w:rsid w:val="5CF26C0C"/>
    <w:rsid w:val="5D011713"/>
    <w:rsid w:val="5D2A74A9"/>
    <w:rsid w:val="5D3828F5"/>
    <w:rsid w:val="5D417555"/>
    <w:rsid w:val="5D4C5E60"/>
    <w:rsid w:val="5D537292"/>
    <w:rsid w:val="5D55254B"/>
    <w:rsid w:val="5D732CD1"/>
    <w:rsid w:val="5D7C348F"/>
    <w:rsid w:val="5D8C5AFA"/>
    <w:rsid w:val="5D9D733D"/>
    <w:rsid w:val="5DA02CE8"/>
    <w:rsid w:val="5DA02FF8"/>
    <w:rsid w:val="5DB03139"/>
    <w:rsid w:val="5DC85998"/>
    <w:rsid w:val="5DCF1811"/>
    <w:rsid w:val="5DD928E3"/>
    <w:rsid w:val="5E000595"/>
    <w:rsid w:val="5E002CE9"/>
    <w:rsid w:val="5E236723"/>
    <w:rsid w:val="5E460FC3"/>
    <w:rsid w:val="5E532442"/>
    <w:rsid w:val="5E5A37D0"/>
    <w:rsid w:val="5E727752"/>
    <w:rsid w:val="5E744166"/>
    <w:rsid w:val="5E8F2D4E"/>
    <w:rsid w:val="5EC56ED7"/>
    <w:rsid w:val="5EE23C67"/>
    <w:rsid w:val="5F06362B"/>
    <w:rsid w:val="5F0F2181"/>
    <w:rsid w:val="5F1A7F0D"/>
    <w:rsid w:val="5F3353B1"/>
    <w:rsid w:val="5F335DCF"/>
    <w:rsid w:val="5F3D769E"/>
    <w:rsid w:val="5F4B6015"/>
    <w:rsid w:val="5F4E6765"/>
    <w:rsid w:val="5F6453F9"/>
    <w:rsid w:val="5F6475C6"/>
    <w:rsid w:val="5F724B4A"/>
    <w:rsid w:val="5F8C4BFD"/>
    <w:rsid w:val="5FA311AF"/>
    <w:rsid w:val="5FAB1043"/>
    <w:rsid w:val="5FB52C88"/>
    <w:rsid w:val="5FC13EA7"/>
    <w:rsid w:val="5FC353A5"/>
    <w:rsid w:val="5FDC30A8"/>
    <w:rsid w:val="5FE6551B"/>
    <w:rsid w:val="5FF10E5B"/>
    <w:rsid w:val="5FFC4413"/>
    <w:rsid w:val="60155B7D"/>
    <w:rsid w:val="601E5E81"/>
    <w:rsid w:val="601F5103"/>
    <w:rsid w:val="602B1C6B"/>
    <w:rsid w:val="602B5A96"/>
    <w:rsid w:val="603772B5"/>
    <w:rsid w:val="60A35104"/>
    <w:rsid w:val="60A6626F"/>
    <w:rsid w:val="60C56E20"/>
    <w:rsid w:val="61704698"/>
    <w:rsid w:val="617428DA"/>
    <w:rsid w:val="61774F72"/>
    <w:rsid w:val="618C2DBF"/>
    <w:rsid w:val="619C2965"/>
    <w:rsid w:val="61CB5446"/>
    <w:rsid w:val="61D14C04"/>
    <w:rsid w:val="61DE35F6"/>
    <w:rsid w:val="61F46161"/>
    <w:rsid w:val="620756B5"/>
    <w:rsid w:val="62114308"/>
    <w:rsid w:val="621A69F7"/>
    <w:rsid w:val="6241015A"/>
    <w:rsid w:val="62540EE1"/>
    <w:rsid w:val="6259134E"/>
    <w:rsid w:val="625E3C09"/>
    <w:rsid w:val="628A5632"/>
    <w:rsid w:val="62AD4B0B"/>
    <w:rsid w:val="62BB1626"/>
    <w:rsid w:val="62BD585A"/>
    <w:rsid w:val="62BF4A36"/>
    <w:rsid w:val="62F40F40"/>
    <w:rsid w:val="630D79FB"/>
    <w:rsid w:val="632330DA"/>
    <w:rsid w:val="635E34FA"/>
    <w:rsid w:val="635F213D"/>
    <w:rsid w:val="6360439E"/>
    <w:rsid w:val="639B2E4B"/>
    <w:rsid w:val="63AD7F84"/>
    <w:rsid w:val="63B72AD6"/>
    <w:rsid w:val="63E4610D"/>
    <w:rsid w:val="64095A7C"/>
    <w:rsid w:val="6427221E"/>
    <w:rsid w:val="642B2F01"/>
    <w:rsid w:val="64373C6C"/>
    <w:rsid w:val="643B7C00"/>
    <w:rsid w:val="645B2050"/>
    <w:rsid w:val="645E744B"/>
    <w:rsid w:val="64645F0D"/>
    <w:rsid w:val="64905BFC"/>
    <w:rsid w:val="64A74421"/>
    <w:rsid w:val="64A74556"/>
    <w:rsid w:val="64B84FA0"/>
    <w:rsid w:val="64C574CA"/>
    <w:rsid w:val="64CA640E"/>
    <w:rsid w:val="64CA7E35"/>
    <w:rsid w:val="64CC3A41"/>
    <w:rsid w:val="65293EFC"/>
    <w:rsid w:val="65336B29"/>
    <w:rsid w:val="654475AB"/>
    <w:rsid w:val="656776D7"/>
    <w:rsid w:val="659400DD"/>
    <w:rsid w:val="65A93E25"/>
    <w:rsid w:val="65BB4BCA"/>
    <w:rsid w:val="65C95A3A"/>
    <w:rsid w:val="65ED1915"/>
    <w:rsid w:val="65F75E97"/>
    <w:rsid w:val="66175181"/>
    <w:rsid w:val="661A4FDE"/>
    <w:rsid w:val="66456B14"/>
    <w:rsid w:val="664570FA"/>
    <w:rsid w:val="66495E39"/>
    <w:rsid w:val="66884C53"/>
    <w:rsid w:val="669B3F3E"/>
    <w:rsid w:val="669D1F4D"/>
    <w:rsid w:val="66C6079C"/>
    <w:rsid w:val="66DB23CA"/>
    <w:rsid w:val="6718528B"/>
    <w:rsid w:val="674F4D1C"/>
    <w:rsid w:val="677B47B7"/>
    <w:rsid w:val="67A43324"/>
    <w:rsid w:val="67B4327B"/>
    <w:rsid w:val="67EC00F3"/>
    <w:rsid w:val="67FB4030"/>
    <w:rsid w:val="680171EA"/>
    <w:rsid w:val="682A2E18"/>
    <w:rsid w:val="68396544"/>
    <w:rsid w:val="68432FE7"/>
    <w:rsid w:val="685A096B"/>
    <w:rsid w:val="685A68A7"/>
    <w:rsid w:val="6865349E"/>
    <w:rsid w:val="68663200"/>
    <w:rsid w:val="686C0D19"/>
    <w:rsid w:val="687C1BFD"/>
    <w:rsid w:val="68836859"/>
    <w:rsid w:val="688D3379"/>
    <w:rsid w:val="68AC16FA"/>
    <w:rsid w:val="68D10103"/>
    <w:rsid w:val="68DE766A"/>
    <w:rsid w:val="68E42049"/>
    <w:rsid w:val="690F6F65"/>
    <w:rsid w:val="69120BD1"/>
    <w:rsid w:val="69162CC5"/>
    <w:rsid w:val="69187D75"/>
    <w:rsid w:val="69256789"/>
    <w:rsid w:val="69330DF7"/>
    <w:rsid w:val="693F00EE"/>
    <w:rsid w:val="69420A88"/>
    <w:rsid w:val="69434EA4"/>
    <w:rsid w:val="695B286F"/>
    <w:rsid w:val="696049D3"/>
    <w:rsid w:val="69701225"/>
    <w:rsid w:val="6976132B"/>
    <w:rsid w:val="69796C58"/>
    <w:rsid w:val="699B1E95"/>
    <w:rsid w:val="69D93224"/>
    <w:rsid w:val="6A040081"/>
    <w:rsid w:val="6A1B3BAA"/>
    <w:rsid w:val="6A1E5A4B"/>
    <w:rsid w:val="6A236490"/>
    <w:rsid w:val="6A2D5DF6"/>
    <w:rsid w:val="6A423DD4"/>
    <w:rsid w:val="6A5943FE"/>
    <w:rsid w:val="6A6A4C45"/>
    <w:rsid w:val="6A7F5461"/>
    <w:rsid w:val="6A8311B1"/>
    <w:rsid w:val="6AA517CC"/>
    <w:rsid w:val="6AC64B22"/>
    <w:rsid w:val="6ADF4469"/>
    <w:rsid w:val="6AE0144F"/>
    <w:rsid w:val="6AEA7E7B"/>
    <w:rsid w:val="6B1C36D8"/>
    <w:rsid w:val="6B1C5D1F"/>
    <w:rsid w:val="6B3237C2"/>
    <w:rsid w:val="6B3B2294"/>
    <w:rsid w:val="6B3F4421"/>
    <w:rsid w:val="6B486805"/>
    <w:rsid w:val="6B98482E"/>
    <w:rsid w:val="6BB04E80"/>
    <w:rsid w:val="6BC32289"/>
    <w:rsid w:val="6BF13D70"/>
    <w:rsid w:val="6C030E4B"/>
    <w:rsid w:val="6C056999"/>
    <w:rsid w:val="6C114F74"/>
    <w:rsid w:val="6C272818"/>
    <w:rsid w:val="6C891FB9"/>
    <w:rsid w:val="6C8D58EB"/>
    <w:rsid w:val="6CDC5203"/>
    <w:rsid w:val="6D197036"/>
    <w:rsid w:val="6D2D79D5"/>
    <w:rsid w:val="6D3522C0"/>
    <w:rsid w:val="6D43754A"/>
    <w:rsid w:val="6D505CEE"/>
    <w:rsid w:val="6D527D69"/>
    <w:rsid w:val="6D635A13"/>
    <w:rsid w:val="6D725D15"/>
    <w:rsid w:val="6D9914F3"/>
    <w:rsid w:val="6DAD6D84"/>
    <w:rsid w:val="6DB263C8"/>
    <w:rsid w:val="6DF266B7"/>
    <w:rsid w:val="6E3D62B6"/>
    <w:rsid w:val="6E573888"/>
    <w:rsid w:val="6E5D69C5"/>
    <w:rsid w:val="6E63599A"/>
    <w:rsid w:val="6E8001D8"/>
    <w:rsid w:val="6E833758"/>
    <w:rsid w:val="6E9747D0"/>
    <w:rsid w:val="6EC15021"/>
    <w:rsid w:val="6ECF21F6"/>
    <w:rsid w:val="6ED344CA"/>
    <w:rsid w:val="6EE82732"/>
    <w:rsid w:val="6EF7183C"/>
    <w:rsid w:val="6F056AF9"/>
    <w:rsid w:val="6F1057E5"/>
    <w:rsid w:val="6F1210C9"/>
    <w:rsid w:val="6F1F3C7A"/>
    <w:rsid w:val="6F2319BD"/>
    <w:rsid w:val="6F284B62"/>
    <w:rsid w:val="6F686FD7"/>
    <w:rsid w:val="6F6A3147"/>
    <w:rsid w:val="6F772469"/>
    <w:rsid w:val="6F7C6FFB"/>
    <w:rsid w:val="6F895E84"/>
    <w:rsid w:val="6F8C186A"/>
    <w:rsid w:val="6F9A7FC1"/>
    <w:rsid w:val="6FA67E74"/>
    <w:rsid w:val="6FB43F96"/>
    <w:rsid w:val="6FBE6512"/>
    <w:rsid w:val="6FCB09ED"/>
    <w:rsid w:val="6FF6761A"/>
    <w:rsid w:val="700915F5"/>
    <w:rsid w:val="70367C21"/>
    <w:rsid w:val="705E5BFD"/>
    <w:rsid w:val="707916C7"/>
    <w:rsid w:val="709D69AD"/>
    <w:rsid w:val="70AA1BDE"/>
    <w:rsid w:val="70B328CC"/>
    <w:rsid w:val="70B34FC2"/>
    <w:rsid w:val="70B424DA"/>
    <w:rsid w:val="70DA4AFA"/>
    <w:rsid w:val="70E20F5A"/>
    <w:rsid w:val="70FD51DC"/>
    <w:rsid w:val="71201629"/>
    <w:rsid w:val="71497AE7"/>
    <w:rsid w:val="71520BD9"/>
    <w:rsid w:val="715C27C1"/>
    <w:rsid w:val="71644A52"/>
    <w:rsid w:val="71900E5F"/>
    <w:rsid w:val="71963798"/>
    <w:rsid w:val="71A122E3"/>
    <w:rsid w:val="71D610BB"/>
    <w:rsid w:val="71DE7BA0"/>
    <w:rsid w:val="71E92658"/>
    <w:rsid w:val="72005E74"/>
    <w:rsid w:val="7270567C"/>
    <w:rsid w:val="728B0B87"/>
    <w:rsid w:val="72B017B9"/>
    <w:rsid w:val="72C7169A"/>
    <w:rsid w:val="72D64249"/>
    <w:rsid w:val="73241DEE"/>
    <w:rsid w:val="7386169F"/>
    <w:rsid w:val="73863D62"/>
    <w:rsid w:val="73E91BAE"/>
    <w:rsid w:val="73FF7C3E"/>
    <w:rsid w:val="74055B35"/>
    <w:rsid w:val="742B065D"/>
    <w:rsid w:val="745A1F28"/>
    <w:rsid w:val="745E463A"/>
    <w:rsid w:val="749018A2"/>
    <w:rsid w:val="749D272F"/>
    <w:rsid w:val="74B17A6A"/>
    <w:rsid w:val="74B310ED"/>
    <w:rsid w:val="74B6459B"/>
    <w:rsid w:val="74BA1537"/>
    <w:rsid w:val="74C833F5"/>
    <w:rsid w:val="74E27C24"/>
    <w:rsid w:val="74F55BA9"/>
    <w:rsid w:val="74FA4F6E"/>
    <w:rsid w:val="7530143F"/>
    <w:rsid w:val="75330475"/>
    <w:rsid w:val="754C2E81"/>
    <w:rsid w:val="758210D0"/>
    <w:rsid w:val="75B32BE3"/>
    <w:rsid w:val="75D71E3D"/>
    <w:rsid w:val="763E391A"/>
    <w:rsid w:val="764174AC"/>
    <w:rsid w:val="76592168"/>
    <w:rsid w:val="766528BB"/>
    <w:rsid w:val="768E0063"/>
    <w:rsid w:val="76C5219A"/>
    <w:rsid w:val="76CD1A4A"/>
    <w:rsid w:val="76E65D09"/>
    <w:rsid w:val="772038EE"/>
    <w:rsid w:val="775804E0"/>
    <w:rsid w:val="77590304"/>
    <w:rsid w:val="77826EE0"/>
    <w:rsid w:val="779879C4"/>
    <w:rsid w:val="779A2B2D"/>
    <w:rsid w:val="779C5CCE"/>
    <w:rsid w:val="77EA7211"/>
    <w:rsid w:val="78127272"/>
    <w:rsid w:val="781B4F4C"/>
    <w:rsid w:val="781C6AF4"/>
    <w:rsid w:val="78250553"/>
    <w:rsid w:val="785E5813"/>
    <w:rsid w:val="785F24DC"/>
    <w:rsid w:val="787935F6"/>
    <w:rsid w:val="7879434D"/>
    <w:rsid w:val="787B05A8"/>
    <w:rsid w:val="787E51F4"/>
    <w:rsid w:val="78AA681B"/>
    <w:rsid w:val="78BB6933"/>
    <w:rsid w:val="78C15F92"/>
    <w:rsid w:val="78C34A06"/>
    <w:rsid w:val="78D12646"/>
    <w:rsid w:val="79482B80"/>
    <w:rsid w:val="79556C02"/>
    <w:rsid w:val="797803E1"/>
    <w:rsid w:val="797C4E1B"/>
    <w:rsid w:val="797E701E"/>
    <w:rsid w:val="79890DB2"/>
    <w:rsid w:val="798E3DD2"/>
    <w:rsid w:val="798F3811"/>
    <w:rsid w:val="79A44995"/>
    <w:rsid w:val="79D414E0"/>
    <w:rsid w:val="7A06774A"/>
    <w:rsid w:val="7A1A43B2"/>
    <w:rsid w:val="7A271D68"/>
    <w:rsid w:val="7A3E7C78"/>
    <w:rsid w:val="7A425DC8"/>
    <w:rsid w:val="7A6109E5"/>
    <w:rsid w:val="7A61458B"/>
    <w:rsid w:val="7A61783D"/>
    <w:rsid w:val="7AA30046"/>
    <w:rsid w:val="7AA8546C"/>
    <w:rsid w:val="7AB636E5"/>
    <w:rsid w:val="7ABA5B40"/>
    <w:rsid w:val="7ACC5D69"/>
    <w:rsid w:val="7AEA2CF4"/>
    <w:rsid w:val="7AF816BF"/>
    <w:rsid w:val="7B097434"/>
    <w:rsid w:val="7B2B5B89"/>
    <w:rsid w:val="7B2D1C86"/>
    <w:rsid w:val="7B31720F"/>
    <w:rsid w:val="7B45338D"/>
    <w:rsid w:val="7B86249B"/>
    <w:rsid w:val="7BA21AA5"/>
    <w:rsid w:val="7BB66FE2"/>
    <w:rsid w:val="7BDB06D8"/>
    <w:rsid w:val="7BE43C12"/>
    <w:rsid w:val="7BF0237D"/>
    <w:rsid w:val="7BF859D9"/>
    <w:rsid w:val="7C08168C"/>
    <w:rsid w:val="7C0F6A24"/>
    <w:rsid w:val="7C1C54B1"/>
    <w:rsid w:val="7C1E24EB"/>
    <w:rsid w:val="7C2653CA"/>
    <w:rsid w:val="7C6378D2"/>
    <w:rsid w:val="7C6674F3"/>
    <w:rsid w:val="7C79601B"/>
    <w:rsid w:val="7C7D05F9"/>
    <w:rsid w:val="7C9065A0"/>
    <w:rsid w:val="7CB1060C"/>
    <w:rsid w:val="7CC85951"/>
    <w:rsid w:val="7CD317E4"/>
    <w:rsid w:val="7CED45BE"/>
    <w:rsid w:val="7CFC3457"/>
    <w:rsid w:val="7D133070"/>
    <w:rsid w:val="7D135677"/>
    <w:rsid w:val="7D1808D1"/>
    <w:rsid w:val="7D2A03BA"/>
    <w:rsid w:val="7D2A1BB6"/>
    <w:rsid w:val="7D852E5E"/>
    <w:rsid w:val="7D902913"/>
    <w:rsid w:val="7D917C36"/>
    <w:rsid w:val="7D967797"/>
    <w:rsid w:val="7D9E2D74"/>
    <w:rsid w:val="7DA72A67"/>
    <w:rsid w:val="7DB11CC5"/>
    <w:rsid w:val="7DD538F2"/>
    <w:rsid w:val="7E130A5A"/>
    <w:rsid w:val="7E1A6DC7"/>
    <w:rsid w:val="7E276162"/>
    <w:rsid w:val="7E355623"/>
    <w:rsid w:val="7E630317"/>
    <w:rsid w:val="7E9F1A7C"/>
    <w:rsid w:val="7EA2283B"/>
    <w:rsid w:val="7EC24EB2"/>
    <w:rsid w:val="7EC75D64"/>
    <w:rsid w:val="7ED0073A"/>
    <w:rsid w:val="7ED05B66"/>
    <w:rsid w:val="7F0940A3"/>
    <w:rsid w:val="7F141D1B"/>
    <w:rsid w:val="7F1766DD"/>
    <w:rsid w:val="7F1D01D6"/>
    <w:rsid w:val="7F3578FD"/>
    <w:rsid w:val="7F3805D3"/>
    <w:rsid w:val="7F4A4D43"/>
    <w:rsid w:val="7F655381"/>
    <w:rsid w:val="7F6D0B47"/>
    <w:rsid w:val="7F704D6C"/>
    <w:rsid w:val="7F731D6C"/>
    <w:rsid w:val="7F8C5EDE"/>
    <w:rsid w:val="7FE92937"/>
    <w:rsid w:val="7FEE0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nhideWhenUsed="0" w:uiPriority="0" w:semiHidden="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nhideWhenUsed="0" w:uiPriority="0" w:semiHidden="0" w:name="HTML Typewriter"/>
    <w:lsdException w:qFormat="1"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0"/>
    <w:autoRedefine/>
    <w:qFormat/>
    <w:uiPriority w:val="0"/>
    <w:pPr>
      <w:keepNext/>
      <w:keepLines/>
      <w:spacing w:before="340" w:after="330" w:line="360" w:lineRule="auto"/>
      <w:jc w:val="center"/>
      <w:outlineLvl w:val="0"/>
    </w:pPr>
    <w:rPr>
      <w:b/>
      <w:kern w:val="44"/>
      <w:sz w:val="44"/>
      <w:szCs w:val="20"/>
    </w:rPr>
  </w:style>
  <w:style w:type="paragraph" w:styleId="3">
    <w:name w:val="heading 2"/>
    <w:basedOn w:val="1"/>
    <w:next w:val="1"/>
    <w:link w:val="227"/>
    <w:autoRedefine/>
    <w:qFormat/>
    <w:uiPriority w:val="0"/>
    <w:pPr>
      <w:keepNext/>
      <w:keepLines/>
      <w:numPr>
        <w:ilvl w:val="1"/>
        <w:numId w:val="1"/>
      </w:numPr>
      <w:tabs>
        <w:tab w:val="left" w:pos="420"/>
        <w:tab w:val="left" w:pos="840"/>
      </w:tabs>
      <w:spacing w:before="260" w:after="260" w:line="360" w:lineRule="auto"/>
      <w:jc w:val="center"/>
      <w:outlineLvl w:val="1"/>
    </w:pPr>
    <w:rPr>
      <w:rFonts w:ascii="Arial" w:hAnsi="Arial"/>
      <w:b/>
      <w:sz w:val="24"/>
      <w:szCs w:val="20"/>
    </w:rPr>
  </w:style>
  <w:style w:type="paragraph" w:styleId="4">
    <w:name w:val="heading 3"/>
    <w:basedOn w:val="1"/>
    <w:next w:val="1"/>
    <w:link w:val="100"/>
    <w:autoRedefine/>
    <w:qFormat/>
    <w:uiPriority w:val="0"/>
    <w:pPr>
      <w:keepNext/>
      <w:keepLines/>
      <w:spacing w:before="260" w:after="260" w:line="416" w:lineRule="auto"/>
      <w:outlineLvl w:val="2"/>
    </w:pPr>
    <w:rPr>
      <w:b/>
      <w:sz w:val="32"/>
      <w:szCs w:val="20"/>
    </w:rPr>
  </w:style>
  <w:style w:type="paragraph" w:styleId="5">
    <w:name w:val="heading 4"/>
    <w:basedOn w:val="1"/>
    <w:next w:val="1"/>
    <w:autoRedefine/>
    <w:qFormat/>
    <w:uiPriority w:val="0"/>
    <w:pPr>
      <w:keepNext/>
      <w:outlineLvl w:val="3"/>
    </w:pPr>
    <w:rPr>
      <w:sz w:val="32"/>
      <w:szCs w:val="20"/>
    </w:rPr>
  </w:style>
  <w:style w:type="paragraph" w:styleId="6">
    <w:name w:val="heading 5"/>
    <w:basedOn w:val="1"/>
    <w:next w:val="1"/>
    <w:link w:val="213"/>
    <w:autoRedefine/>
    <w:qFormat/>
    <w:uiPriority w:val="0"/>
    <w:pPr>
      <w:spacing w:before="120" w:line="60" w:lineRule="atLeast"/>
      <w:outlineLvl w:val="4"/>
    </w:pPr>
    <w:rPr>
      <w:rFonts w:ascii="Arial" w:hAnsi="Arial"/>
      <w:b/>
      <w:sz w:val="28"/>
      <w:szCs w:val="20"/>
    </w:rPr>
  </w:style>
  <w:style w:type="paragraph" w:styleId="7">
    <w:name w:val="heading 6"/>
    <w:basedOn w:val="1"/>
    <w:next w:val="1"/>
    <w:autoRedefine/>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autoRedefine/>
    <w:qFormat/>
    <w:uiPriority w:val="0"/>
    <w:pPr>
      <w:keepNext/>
      <w:keepLines/>
      <w:tabs>
        <w:tab w:val="left" w:pos="930"/>
      </w:tabs>
      <w:adjustRightInd w:val="0"/>
      <w:snapToGrid w:val="0"/>
      <w:spacing w:before="240" w:after="64" w:line="320" w:lineRule="atLeast"/>
      <w:ind w:left="930" w:hanging="240"/>
      <w:textAlignment w:val="baseline"/>
      <w:outlineLvl w:val="6"/>
    </w:pPr>
    <w:rPr>
      <w:rFonts w:ascii="宋体" w:eastAsia="仿宋_GB2312"/>
      <w:b/>
      <w:kern w:val="0"/>
      <w:sz w:val="24"/>
      <w:szCs w:val="20"/>
    </w:rPr>
  </w:style>
  <w:style w:type="paragraph" w:styleId="9">
    <w:name w:val="heading 8"/>
    <w:basedOn w:val="1"/>
    <w:next w:val="1"/>
    <w:autoRedefine/>
    <w:qFormat/>
    <w:uiPriority w:val="0"/>
    <w:pPr>
      <w:keepNext/>
      <w:keepLines/>
      <w:tabs>
        <w:tab w:val="left" w:pos="930"/>
      </w:tabs>
      <w:adjustRightInd w:val="0"/>
      <w:snapToGrid w:val="0"/>
      <w:spacing w:before="240" w:after="64" w:line="320" w:lineRule="atLeast"/>
      <w:ind w:left="930" w:hanging="240"/>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tabs>
        <w:tab w:val="left" w:pos="930"/>
      </w:tabs>
      <w:adjustRightInd w:val="0"/>
      <w:snapToGrid w:val="0"/>
      <w:spacing w:before="240" w:after="64" w:line="320" w:lineRule="atLeast"/>
      <w:ind w:left="930" w:hanging="240"/>
      <w:textAlignment w:val="baseline"/>
      <w:outlineLvl w:val="8"/>
    </w:pPr>
    <w:rPr>
      <w:rFonts w:ascii="Arial" w:hAnsi="Arial" w:eastAsia="黑体"/>
      <w:kern w:val="0"/>
      <w:sz w:val="28"/>
      <w:szCs w:val="20"/>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20"/>
    </w:rPr>
  </w:style>
  <w:style w:type="paragraph" w:styleId="12">
    <w:name w:val="Note Heading"/>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Normal Indent"/>
    <w:basedOn w:val="1"/>
    <w:next w:val="14"/>
    <w:link w:val="78"/>
    <w:autoRedefine/>
    <w:qFormat/>
    <w:uiPriority w:val="0"/>
    <w:pPr>
      <w:ind w:firstLine="420"/>
    </w:pPr>
    <w:rPr>
      <w:szCs w:val="20"/>
    </w:rPr>
  </w:style>
  <w:style w:type="paragraph" w:styleId="14">
    <w:name w:val="Body Text 2"/>
    <w:basedOn w:val="1"/>
    <w:next w:val="15"/>
    <w:autoRedefine/>
    <w:qFormat/>
    <w:uiPriority w:val="0"/>
    <w:pPr>
      <w:spacing w:line="360" w:lineRule="auto"/>
    </w:pPr>
    <w:rPr>
      <w:sz w:val="24"/>
      <w:szCs w:val="20"/>
    </w:rPr>
  </w:style>
  <w:style w:type="paragraph" w:styleId="15">
    <w:name w:val="Body Text"/>
    <w:basedOn w:val="1"/>
    <w:link w:val="214"/>
    <w:autoRedefine/>
    <w:qFormat/>
    <w:uiPriority w:val="1"/>
    <w:pPr>
      <w:spacing w:after="120"/>
    </w:pPr>
  </w:style>
  <w:style w:type="paragraph" w:styleId="16">
    <w:name w:val="Document Map"/>
    <w:basedOn w:val="1"/>
    <w:autoRedefine/>
    <w:semiHidden/>
    <w:qFormat/>
    <w:uiPriority w:val="0"/>
    <w:pPr>
      <w:shd w:val="clear" w:color="auto" w:fill="000080"/>
    </w:pPr>
  </w:style>
  <w:style w:type="paragraph" w:styleId="17">
    <w:name w:val="toa heading"/>
    <w:basedOn w:val="1"/>
    <w:next w:val="1"/>
    <w:autoRedefine/>
    <w:qFormat/>
    <w:uiPriority w:val="0"/>
    <w:pPr>
      <w:spacing w:before="120"/>
    </w:pPr>
    <w:rPr>
      <w:rFonts w:ascii="Arial" w:hAnsi="Arial"/>
      <w:sz w:val="24"/>
      <w:szCs w:val="20"/>
    </w:rPr>
  </w:style>
  <w:style w:type="paragraph" w:styleId="18">
    <w:name w:val="annotation text"/>
    <w:basedOn w:val="1"/>
    <w:link w:val="96"/>
    <w:autoRedefine/>
    <w:qFormat/>
    <w:uiPriority w:val="0"/>
    <w:pPr>
      <w:jc w:val="left"/>
    </w:pPr>
  </w:style>
  <w:style w:type="paragraph" w:styleId="19">
    <w:name w:val="Body Text 3"/>
    <w:basedOn w:val="1"/>
    <w:autoRedefine/>
    <w:qFormat/>
    <w:uiPriority w:val="0"/>
    <w:rPr>
      <w:b/>
      <w:bCs/>
      <w:sz w:val="24"/>
    </w:rPr>
  </w:style>
  <w:style w:type="paragraph" w:styleId="20">
    <w:name w:val="Body Text Indent"/>
    <w:basedOn w:val="1"/>
    <w:autoRedefine/>
    <w:qFormat/>
    <w:uiPriority w:val="0"/>
    <w:pPr>
      <w:adjustRightInd w:val="0"/>
      <w:ind w:left="960"/>
      <w:jc w:val="left"/>
      <w:textAlignment w:val="baseline"/>
    </w:pPr>
    <w:rPr>
      <w:rFonts w:ascii="楷体_GB2312" w:eastAsia="楷体_GB2312"/>
      <w:kern w:val="0"/>
      <w:sz w:val="28"/>
      <w:szCs w:val="20"/>
    </w:rPr>
  </w:style>
  <w:style w:type="paragraph" w:styleId="21">
    <w:name w:val="List Continue"/>
    <w:basedOn w:val="1"/>
    <w:autoRedefine/>
    <w:qFormat/>
    <w:uiPriority w:val="0"/>
    <w:pPr>
      <w:spacing w:after="120"/>
      <w:ind w:left="420"/>
    </w:pPr>
    <w:rPr>
      <w:rFonts w:eastAsia="楷体_GB2312"/>
      <w:sz w:val="32"/>
      <w:szCs w:val="20"/>
    </w:rPr>
  </w:style>
  <w:style w:type="paragraph" w:styleId="22">
    <w:name w:val="List Bullet 2"/>
    <w:basedOn w:val="1"/>
    <w:autoRedefine/>
    <w:qFormat/>
    <w:uiPriority w:val="0"/>
    <w:pPr>
      <w:widowControl/>
      <w:spacing w:line="0" w:lineRule="atLeast"/>
    </w:pPr>
    <w:rPr>
      <w:rFonts w:ascii="宋体" w:hAnsi="宋体"/>
      <w:kern w:val="0"/>
      <w:sz w:val="24"/>
    </w:rPr>
  </w:style>
  <w:style w:type="paragraph" w:styleId="23">
    <w:name w:val="toc 5"/>
    <w:basedOn w:val="1"/>
    <w:next w:val="1"/>
    <w:autoRedefine/>
    <w:qFormat/>
    <w:uiPriority w:val="0"/>
    <w:pPr>
      <w:ind w:left="840"/>
      <w:jc w:val="left"/>
    </w:pPr>
    <w:rPr>
      <w:sz w:val="18"/>
      <w:szCs w:val="20"/>
    </w:rPr>
  </w:style>
  <w:style w:type="paragraph" w:styleId="24">
    <w:name w:val="toc 3"/>
    <w:basedOn w:val="1"/>
    <w:next w:val="1"/>
    <w:autoRedefine/>
    <w:qFormat/>
    <w:uiPriority w:val="39"/>
    <w:pPr>
      <w:jc w:val="center"/>
    </w:pPr>
    <w:rPr>
      <w:rFonts w:ascii="宋体" w:hAnsi="宋体"/>
      <w:iCs/>
      <w:sz w:val="24"/>
    </w:rPr>
  </w:style>
  <w:style w:type="paragraph" w:styleId="25">
    <w:name w:val="Plain Text"/>
    <w:basedOn w:val="1"/>
    <w:link w:val="106"/>
    <w:autoRedefine/>
    <w:qFormat/>
    <w:uiPriority w:val="0"/>
    <w:rPr>
      <w:rFonts w:ascii="宋体" w:hAnsi="Courier New"/>
      <w:szCs w:val="20"/>
    </w:rPr>
  </w:style>
  <w:style w:type="paragraph" w:styleId="26">
    <w:name w:val="toc 8"/>
    <w:basedOn w:val="1"/>
    <w:next w:val="1"/>
    <w:autoRedefine/>
    <w:qFormat/>
    <w:uiPriority w:val="0"/>
    <w:pPr>
      <w:ind w:left="1470"/>
      <w:jc w:val="left"/>
    </w:pPr>
    <w:rPr>
      <w:sz w:val="18"/>
      <w:szCs w:val="20"/>
    </w:rPr>
  </w:style>
  <w:style w:type="paragraph" w:styleId="27">
    <w:name w:val="Date"/>
    <w:basedOn w:val="1"/>
    <w:next w:val="1"/>
    <w:link w:val="86"/>
    <w:autoRedefine/>
    <w:qFormat/>
    <w:uiPriority w:val="99"/>
    <w:pPr>
      <w:adjustRightInd w:val="0"/>
      <w:spacing w:line="360" w:lineRule="atLeast"/>
      <w:textAlignment w:val="baseline"/>
    </w:pPr>
    <w:rPr>
      <w:kern w:val="0"/>
      <w:sz w:val="28"/>
      <w:szCs w:val="20"/>
    </w:rPr>
  </w:style>
  <w:style w:type="paragraph" w:styleId="28">
    <w:name w:val="Body Text Indent 2"/>
    <w:basedOn w:val="1"/>
    <w:autoRedefine/>
    <w:qFormat/>
    <w:uiPriority w:val="0"/>
    <w:pPr>
      <w:spacing w:line="360" w:lineRule="auto"/>
      <w:ind w:left="1140"/>
    </w:pPr>
    <w:rPr>
      <w:rFonts w:ascii="宋体"/>
      <w:sz w:val="24"/>
      <w:szCs w:val="20"/>
    </w:rPr>
  </w:style>
  <w:style w:type="paragraph" w:styleId="29">
    <w:name w:val="Balloon Text"/>
    <w:basedOn w:val="1"/>
    <w:link w:val="83"/>
    <w:autoRedefine/>
    <w:qFormat/>
    <w:uiPriority w:val="0"/>
    <w:pPr>
      <w:adjustRightInd w:val="0"/>
      <w:spacing w:line="312" w:lineRule="atLeast"/>
      <w:textAlignment w:val="baseline"/>
    </w:pPr>
    <w:rPr>
      <w:kern w:val="0"/>
      <w:sz w:val="18"/>
      <w:szCs w:val="18"/>
    </w:rPr>
  </w:style>
  <w:style w:type="paragraph" w:styleId="30">
    <w:name w:val="footer"/>
    <w:basedOn w:val="1"/>
    <w:link w:val="97"/>
    <w:autoRedefine/>
    <w:qFormat/>
    <w:uiPriority w:val="99"/>
    <w:pPr>
      <w:tabs>
        <w:tab w:val="center" w:pos="4153"/>
        <w:tab w:val="right" w:pos="8306"/>
      </w:tabs>
      <w:snapToGrid w:val="0"/>
      <w:jc w:val="left"/>
    </w:pPr>
    <w:rPr>
      <w:sz w:val="18"/>
      <w:szCs w:val="18"/>
    </w:rPr>
  </w:style>
  <w:style w:type="paragraph" w:styleId="31">
    <w:name w:val="envelope return"/>
    <w:basedOn w:val="1"/>
    <w:autoRedefine/>
    <w:qFormat/>
    <w:uiPriority w:val="0"/>
    <w:pPr>
      <w:snapToGrid w:val="0"/>
    </w:pPr>
    <w:rPr>
      <w:rFonts w:ascii="Arial" w:hAnsi="Arial"/>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b/>
      <w:bCs/>
      <w:caps/>
    </w:rPr>
  </w:style>
  <w:style w:type="paragraph" w:styleId="34">
    <w:name w:val="toc 4"/>
    <w:basedOn w:val="1"/>
    <w:next w:val="1"/>
    <w:autoRedefine/>
    <w:qFormat/>
    <w:uiPriority w:val="0"/>
    <w:pPr>
      <w:ind w:left="630"/>
      <w:jc w:val="left"/>
    </w:pPr>
    <w:rPr>
      <w:sz w:val="18"/>
      <w:szCs w:val="20"/>
    </w:rPr>
  </w:style>
  <w:style w:type="paragraph" w:styleId="35">
    <w:name w:val="index heading"/>
    <w:basedOn w:val="1"/>
    <w:next w:val="36"/>
    <w:autoRedefine/>
    <w:qFormat/>
    <w:uiPriority w:val="0"/>
    <w:rPr>
      <w:szCs w:val="20"/>
    </w:rPr>
  </w:style>
  <w:style w:type="paragraph" w:styleId="36">
    <w:name w:val="index 1"/>
    <w:basedOn w:val="1"/>
    <w:next w:val="1"/>
    <w:autoRedefine/>
    <w:qFormat/>
    <w:uiPriority w:val="0"/>
    <w:rPr>
      <w:szCs w:val="20"/>
    </w:rPr>
  </w:style>
  <w:style w:type="paragraph" w:styleId="37">
    <w:name w:val="List"/>
    <w:basedOn w:val="1"/>
    <w:autoRedefine/>
    <w:qFormat/>
    <w:uiPriority w:val="0"/>
    <w:pPr>
      <w:ind w:left="420" w:hanging="420"/>
    </w:pPr>
    <w:rPr>
      <w:rFonts w:eastAsia="楷体_GB2312"/>
      <w:sz w:val="32"/>
      <w:szCs w:val="20"/>
    </w:rPr>
  </w:style>
  <w:style w:type="paragraph" w:styleId="38">
    <w:name w:val="footnote text"/>
    <w:basedOn w:val="1"/>
    <w:autoRedefine/>
    <w:semiHidden/>
    <w:qFormat/>
    <w:uiPriority w:val="0"/>
    <w:pPr>
      <w:widowControl/>
      <w:jc w:val="left"/>
    </w:pPr>
    <w:rPr>
      <w:kern w:val="0"/>
      <w:sz w:val="20"/>
      <w:szCs w:val="20"/>
      <w:lang w:eastAsia="en-US"/>
    </w:rPr>
  </w:style>
  <w:style w:type="paragraph" w:styleId="39">
    <w:name w:val="toc 6"/>
    <w:basedOn w:val="1"/>
    <w:next w:val="1"/>
    <w:autoRedefine/>
    <w:qFormat/>
    <w:uiPriority w:val="0"/>
    <w:pPr>
      <w:ind w:left="1050"/>
      <w:jc w:val="left"/>
    </w:pPr>
    <w:rPr>
      <w:sz w:val="18"/>
      <w:szCs w:val="20"/>
    </w:rPr>
  </w:style>
  <w:style w:type="paragraph" w:styleId="40">
    <w:name w:val="List 5"/>
    <w:basedOn w:val="1"/>
    <w:autoRedefine/>
    <w:qFormat/>
    <w:uiPriority w:val="0"/>
    <w:pPr>
      <w:ind w:left="2100" w:hanging="420"/>
    </w:pPr>
    <w:rPr>
      <w:rFonts w:eastAsia="楷体_GB2312"/>
      <w:sz w:val="32"/>
      <w:szCs w:val="20"/>
    </w:rPr>
  </w:style>
  <w:style w:type="paragraph" w:styleId="41">
    <w:name w:val="Body Text Indent 3"/>
    <w:basedOn w:val="1"/>
    <w:autoRedefine/>
    <w:qFormat/>
    <w:uiPriority w:val="0"/>
    <w:pPr>
      <w:ind w:firstLine="540" w:firstLineChars="225"/>
    </w:pPr>
    <w:rPr>
      <w:sz w:val="24"/>
      <w:szCs w:val="20"/>
    </w:rPr>
  </w:style>
  <w:style w:type="paragraph" w:styleId="42">
    <w:name w:val="toc 2"/>
    <w:basedOn w:val="1"/>
    <w:next w:val="1"/>
    <w:autoRedefine/>
    <w:qFormat/>
    <w:uiPriority w:val="39"/>
    <w:pPr>
      <w:tabs>
        <w:tab w:val="left" w:pos="840"/>
        <w:tab w:val="right" w:leader="dot" w:pos="9231"/>
      </w:tabs>
      <w:spacing w:line="360" w:lineRule="auto"/>
      <w:ind w:left="210"/>
      <w:jc w:val="left"/>
    </w:pPr>
    <w:rPr>
      <w:smallCaps/>
    </w:rPr>
  </w:style>
  <w:style w:type="paragraph" w:styleId="43">
    <w:name w:val="toc 9"/>
    <w:basedOn w:val="1"/>
    <w:next w:val="1"/>
    <w:autoRedefine/>
    <w:qFormat/>
    <w:uiPriority w:val="0"/>
    <w:pPr>
      <w:ind w:left="1680"/>
      <w:jc w:val="left"/>
    </w:pPr>
    <w:rPr>
      <w:sz w:val="18"/>
      <w:szCs w:val="20"/>
    </w:rPr>
  </w:style>
  <w:style w:type="paragraph" w:styleId="44">
    <w:name w:val="List 4"/>
    <w:basedOn w:val="1"/>
    <w:autoRedefine/>
    <w:qFormat/>
    <w:uiPriority w:val="0"/>
    <w:pPr>
      <w:ind w:left="1680" w:hanging="420"/>
    </w:pPr>
    <w:rPr>
      <w:rFonts w:eastAsia="楷体_GB2312"/>
      <w:sz w:val="32"/>
      <w:szCs w:val="20"/>
    </w:rPr>
  </w:style>
  <w:style w:type="paragraph" w:styleId="45">
    <w:name w:val="HTML Preformatted"/>
    <w:basedOn w:val="1"/>
    <w:link w:val="9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autoRedefine/>
    <w:qFormat/>
    <w:uiPriority w:val="0"/>
    <w:pPr>
      <w:spacing w:before="240" w:after="60"/>
      <w:jc w:val="center"/>
      <w:outlineLvl w:val="0"/>
    </w:pPr>
    <w:rPr>
      <w:rFonts w:ascii="Arial" w:hAnsi="Arial" w:eastAsia="隶书"/>
      <w:b/>
      <w:sz w:val="32"/>
      <w:szCs w:val="20"/>
    </w:rPr>
  </w:style>
  <w:style w:type="paragraph" w:styleId="48">
    <w:name w:val="annotation subject"/>
    <w:basedOn w:val="18"/>
    <w:next w:val="18"/>
    <w:link w:val="116"/>
    <w:autoRedefine/>
    <w:qFormat/>
    <w:uiPriority w:val="0"/>
    <w:rPr>
      <w:b/>
      <w:bCs/>
    </w:rPr>
  </w:style>
  <w:style w:type="paragraph" w:styleId="49">
    <w:name w:val="Body Text First Indent"/>
    <w:basedOn w:val="15"/>
    <w:autoRedefine/>
    <w:qFormat/>
    <w:uiPriority w:val="0"/>
    <w:pPr>
      <w:ind w:firstLine="420"/>
    </w:pPr>
    <w:rPr>
      <w:rFonts w:eastAsia="楷体_GB2312"/>
      <w:sz w:val="32"/>
      <w:szCs w:val="20"/>
    </w:rPr>
  </w:style>
  <w:style w:type="paragraph" w:styleId="50">
    <w:name w:val="Body Text First Indent 2"/>
    <w:basedOn w:val="20"/>
    <w:autoRedefine/>
    <w:qFormat/>
    <w:uiPriority w:val="0"/>
    <w:pPr>
      <w:spacing w:after="120"/>
      <w:ind w:left="420" w:leftChars="200" w:firstLine="420" w:firstLineChars="200"/>
      <w:jc w:val="both"/>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Theme"/>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basedOn w:val="54"/>
    <w:autoRedefine/>
    <w:qFormat/>
    <w:uiPriority w:val="0"/>
    <w:rPr>
      <w:color w:val="5C5C5C"/>
      <w:u w:val="none"/>
    </w:rPr>
  </w:style>
  <w:style w:type="character" w:styleId="58">
    <w:name w:val="Emphasis"/>
    <w:autoRedefine/>
    <w:qFormat/>
    <w:uiPriority w:val="20"/>
    <w:rPr>
      <w:color w:val="CC0000"/>
    </w:rPr>
  </w:style>
  <w:style w:type="character" w:styleId="59">
    <w:name w:val="HTML Definition"/>
    <w:basedOn w:val="54"/>
    <w:autoRedefine/>
    <w:semiHidden/>
    <w:unhideWhenUsed/>
    <w:qFormat/>
    <w:uiPriority w:val="0"/>
  </w:style>
  <w:style w:type="character" w:styleId="60">
    <w:name w:val="HTML Typewriter"/>
    <w:autoRedefine/>
    <w:qFormat/>
    <w:uiPriority w:val="0"/>
    <w:rPr>
      <w:rFonts w:hint="eastAsia" w:ascii="宋体" w:hAnsi="宋体" w:eastAsia="宋体" w:cs="宋体"/>
      <w:sz w:val="18"/>
      <w:szCs w:val="18"/>
    </w:rPr>
  </w:style>
  <w:style w:type="character" w:styleId="61">
    <w:name w:val="HTML Acronym"/>
    <w:basedOn w:val="54"/>
    <w:autoRedefine/>
    <w:semiHidden/>
    <w:unhideWhenUsed/>
    <w:qFormat/>
    <w:uiPriority w:val="0"/>
    <w:rPr>
      <w:rFonts w:ascii="ActionIcon ! important" w:hAnsi="ActionIcon ! important" w:eastAsia="ActionIcon ! important" w:cs="ActionIcon ! important"/>
      <w:sz w:val="24"/>
      <w:szCs w:val="24"/>
      <w:bdr w:val="none" w:color="auto" w:sz="0" w:space="0"/>
    </w:rPr>
  </w:style>
  <w:style w:type="character" w:styleId="62">
    <w:name w:val="HTML Variable"/>
    <w:basedOn w:val="54"/>
    <w:autoRedefine/>
    <w:semiHidden/>
    <w:unhideWhenUsed/>
    <w:qFormat/>
    <w:uiPriority w:val="0"/>
  </w:style>
  <w:style w:type="character" w:styleId="63">
    <w:name w:val="Hyperlink"/>
    <w:basedOn w:val="54"/>
    <w:autoRedefine/>
    <w:qFormat/>
    <w:uiPriority w:val="99"/>
    <w:rPr>
      <w:color w:val="5C5C5C"/>
      <w:u w:val="none"/>
    </w:rPr>
  </w:style>
  <w:style w:type="character" w:styleId="64">
    <w:name w:val="HTML Code"/>
    <w:basedOn w:val="54"/>
    <w:autoRedefine/>
    <w:semiHidden/>
    <w:unhideWhenUsed/>
    <w:qFormat/>
    <w:uiPriority w:val="0"/>
    <w:rPr>
      <w:rFonts w:ascii="monospace" w:hAnsi="monospace" w:eastAsia="monospace" w:cs="monospace"/>
      <w:sz w:val="20"/>
    </w:rPr>
  </w:style>
  <w:style w:type="character" w:styleId="65">
    <w:name w:val="annotation reference"/>
    <w:autoRedefine/>
    <w:qFormat/>
    <w:uiPriority w:val="0"/>
    <w:rPr>
      <w:sz w:val="21"/>
      <w:szCs w:val="21"/>
    </w:rPr>
  </w:style>
  <w:style w:type="character" w:styleId="66">
    <w:name w:val="HTML Cite"/>
    <w:autoRedefine/>
    <w:qFormat/>
    <w:uiPriority w:val="0"/>
    <w:rPr>
      <w:color w:val="008000"/>
    </w:rPr>
  </w:style>
  <w:style w:type="character" w:styleId="67">
    <w:name w:val="HTML Keyboard"/>
    <w:basedOn w:val="54"/>
    <w:autoRedefine/>
    <w:semiHidden/>
    <w:unhideWhenUsed/>
    <w:qFormat/>
    <w:uiPriority w:val="0"/>
    <w:rPr>
      <w:rFonts w:hint="default" w:ascii="monospace" w:hAnsi="monospace" w:eastAsia="monospace" w:cs="monospace"/>
      <w:sz w:val="20"/>
    </w:rPr>
  </w:style>
  <w:style w:type="character" w:styleId="68">
    <w:name w:val="HTML Sample"/>
    <w:basedOn w:val="54"/>
    <w:autoRedefine/>
    <w:semiHidden/>
    <w:unhideWhenUsed/>
    <w:qFormat/>
    <w:uiPriority w:val="0"/>
    <w:rPr>
      <w:rFonts w:hint="default" w:ascii="monospace" w:hAnsi="monospace" w:eastAsia="monospace" w:cs="monospace"/>
    </w:rPr>
  </w:style>
  <w:style w:type="character" w:customStyle="1" w:styleId="69">
    <w:name w:val="标题 2 Char"/>
    <w:link w:val="3"/>
    <w:autoRedefine/>
    <w:qFormat/>
    <w:uiPriority w:val="0"/>
    <w:rPr>
      <w:rFonts w:ascii="Arial" w:hAnsi="Arial"/>
      <w:b/>
      <w:kern w:val="2"/>
      <w:sz w:val="32"/>
    </w:rPr>
  </w:style>
  <w:style w:type="character" w:customStyle="1" w:styleId="70">
    <w:name w:val="标题 1 Char"/>
    <w:link w:val="2"/>
    <w:autoRedefine/>
    <w:qFormat/>
    <w:locked/>
    <w:uiPriority w:val="0"/>
    <w:rPr>
      <w:b/>
      <w:kern w:val="44"/>
      <w:sz w:val="44"/>
    </w:rPr>
  </w:style>
  <w:style w:type="paragraph" w:customStyle="1" w:styleId="71">
    <w:name w:val="样式3"/>
    <w:basedOn w:val="30"/>
    <w:next w:val="1"/>
    <w:autoRedefine/>
    <w:qFormat/>
    <w:uiPriority w:val="0"/>
    <w:pPr>
      <w:jc w:val="both"/>
    </w:pPr>
    <w:rPr>
      <w:kern w:val="0"/>
      <w:szCs w:val="20"/>
    </w:rPr>
  </w:style>
  <w:style w:type="paragraph" w:customStyle="1" w:styleId="72">
    <w:name w:val="style4"/>
    <w:basedOn w:val="1"/>
    <w:next w:val="73"/>
    <w:autoRedefine/>
    <w:qFormat/>
    <w:uiPriority w:val="0"/>
    <w:pPr>
      <w:widowControl/>
      <w:spacing w:before="280" w:after="280"/>
    </w:pPr>
    <w:rPr>
      <w:rFonts w:ascii="宋体"/>
      <w:sz w:val="18"/>
    </w:rPr>
  </w:style>
  <w:style w:type="paragraph" w:customStyle="1" w:styleId="7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4">
    <w:name w:val="List Paragraph"/>
    <w:basedOn w:val="1"/>
    <w:next w:val="1"/>
    <w:autoRedefine/>
    <w:qFormat/>
    <w:uiPriority w:val="34"/>
    <w:pPr>
      <w:ind w:firstLine="420" w:firstLineChars="200"/>
    </w:pPr>
  </w:style>
  <w:style w:type="paragraph" w:customStyle="1" w:styleId="75">
    <w:name w:val="Default"/>
    <w:basedOn w:val="47"/>
    <w:autoRedefine/>
    <w:qFormat/>
    <w:uiPriority w:val="0"/>
    <w:pPr>
      <w:autoSpaceDE w:val="0"/>
      <w:autoSpaceDN w:val="0"/>
      <w:adjustRightInd w:val="0"/>
    </w:pPr>
    <w:rPr>
      <w:rFonts w:ascii="宋体" w:hAnsi="Calibri" w:eastAsia="宋体"/>
      <w:color w:val="000000"/>
      <w:sz w:val="24"/>
      <w:szCs w:val="24"/>
    </w:rPr>
  </w:style>
  <w:style w:type="paragraph" w:customStyle="1" w:styleId="76">
    <w:name w:val="大标题"/>
    <w:basedOn w:val="1"/>
    <w:next w:val="50"/>
    <w:autoRedefine/>
    <w:qFormat/>
    <w:uiPriority w:val="0"/>
    <w:pPr>
      <w:jc w:val="center"/>
    </w:pPr>
    <w:rPr>
      <w:rFonts w:ascii="Arial" w:hAnsi="Arial"/>
      <w:b/>
      <w:sz w:val="28"/>
    </w:rPr>
  </w:style>
  <w:style w:type="paragraph" w:customStyle="1" w:styleId="77">
    <w:name w:val="样式2"/>
    <w:basedOn w:val="30"/>
    <w:next w:val="1"/>
    <w:autoRedefine/>
    <w:qFormat/>
    <w:uiPriority w:val="0"/>
    <w:pPr>
      <w:jc w:val="both"/>
    </w:pPr>
    <w:rPr>
      <w:kern w:val="0"/>
      <w:szCs w:val="20"/>
    </w:rPr>
  </w:style>
  <w:style w:type="character" w:customStyle="1" w:styleId="78">
    <w:name w:val="正文缩进 Char"/>
    <w:link w:val="13"/>
    <w:autoRedefine/>
    <w:qFormat/>
    <w:uiPriority w:val="0"/>
    <w:rPr>
      <w:kern w:val="2"/>
      <w:sz w:val="21"/>
    </w:rPr>
  </w:style>
  <w:style w:type="character" w:customStyle="1" w:styleId="79">
    <w:name w:val="页眉 Char"/>
    <w:basedOn w:val="54"/>
    <w:link w:val="32"/>
    <w:autoRedefine/>
    <w:qFormat/>
    <w:uiPriority w:val="99"/>
    <w:rPr>
      <w:rFonts w:ascii="Calibri" w:hAnsi="Calibri"/>
      <w:kern w:val="2"/>
      <w:sz w:val="18"/>
      <w:szCs w:val="18"/>
    </w:rPr>
  </w:style>
  <w:style w:type="character" w:customStyle="1" w:styleId="80">
    <w:name w:val="f71"/>
    <w:autoRedefine/>
    <w:qFormat/>
    <w:uiPriority w:val="0"/>
    <w:rPr>
      <w:sz w:val="18"/>
      <w:szCs w:val="18"/>
    </w:rPr>
  </w:style>
  <w:style w:type="character" w:customStyle="1" w:styleId="81">
    <w:name w:val="text11"/>
    <w:autoRedefine/>
    <w:qFormat/>
    <w:uiPriority w:val="0"/>
    <w:rPr>
      <w:rFonts w:hint="default" w:ascii="Verdana" w:hAnsi="Verdana"/>
      <w:color w:val="4E4E4E"/>
      <w:sz w:val="18"/>
      <w:szCs w:val="18"/>
    </w:rPr>
  </w:style>
  <w:style w:type="character" w:customStyle="1" w:styleId="82">
    <w:name w:val="para"/>
    <w:basedOn w:val="54"/>
    <w:autoRedefine/>
    <w:qFormat/>
    <w:uiPriority w:val="0"/>
  </w:style>
  <w:style w:type="character" w:customStyle="1" w:styleId="83">
    <w:name w:val="批注框文本 Char"/>
    <w:link w:val="29"/>
    <w:autoRedefine/>
    <w:qFormat/>
    <w:uiPriority w:val="0"/>
    <w:rPr>
      <w:sz w:val="18"/>
      <w:szCs w:val="18"/>
    </w:rPr>
  </w:style>
  <w:style w:type="character" w:customStyle="1" w:styleId="84">
    <w:name w:val="huei12b1"/>
    <w:autoRedefine/>
    <w:qFormat/>
    <w:uiPriority w:val="0"/>
    <w:rPr>
      <w:b/>
      <w:bCs/>
      <w:color w:val="333333"/>
      <w:sz w:val="18"/>
      <w:szCs w:val="18"/>
    </w:rPr>
  </w:style>
  <w:style w:type="character" w:customStyle="1" w:styleId="85">
    <w:name w:val="location1"/>
    <w:autoRedefine/>
    <w:qFormat/>
    <w:uiPriority w:val="0"/>
    <w:rPr>
      <w:rFonts w:hint="default" w:ascii="Verdana" w:hAnsi="Verdana"/>
      <w:sz w:val="20"/>
      <w:szCs w:val="20"/>
    </w:rPr>
  </w:style>
  <w:style w:type="character" w:customStyle="1" w:styleId="86">
    <w:name w:val="日期 Char"/>
    <w:link w:val="27"/>
    <w:autoRedefine/>
    <w:qFormat/>
    <w:uiPriority w:val="99"/>
    <w:rPr>
      <w:sz w:val="28"/>
    </w:rPr>
  </w:style>
  <w:style w:type="character" w:customStyle="1" w:styleId="87">
    <w:name w:val="Char Char1"/>
    <w:autoRedefine/>
    <w:qFormat/>
    <w:uiPriority w:val="0"/>
    <w:rPr>
      <w:sz w:val="18"/>
    </w:rPr>
  </w:style>
  <w:style w:type="character" w:customStyle="1" w:styleId="88">
    <w:name w:val="point_normal"/>
    <w:basedOn w:val="54"/>
    <w:autoRedefine/>
    <w:qFormat/>
    <w:uiPriority w:val="0"/>
  </w:style>
  <w:style w:type="character" w:customStyle="1" w:styleId="89">
    <w:name w:val="apple-converted-space"/>
    <w:basedOn w:val="54"/>
    <w:autoRedefine/>
    <w:qFormat/>
    <w:uiPriority w:val="0"/>
  </w:style>
  <w:style w:type="character" w:customStyle="1" w:styleId="90">
    <w:name w:val="font91"/>
    <w:autoRedefine/>
    <w:qFormat/>
    <w:uiPriority w:val="0"/>
    <w:rPr>
      <w:rFonts w:hint="eastAsia" w:ascii="宋体" w:hAnsi="宋体" w:eastAsia="宋体" w:cs="宋体"/>
      <w:color w:val="000000"/>
      <w:sz w:val="20"/>
      <w:szCs w:val="20"/>
    </w:rPr>
  </w:style>
  <w:style w:type="character" w:customStyle="1" w:styleId="91">
    <w:name w:val="indent1 Char"/>
    <w:link w:val="92"/>
    <w:autoRedefine/>
    <w:qFormat/>
    <w:uiPriority w:val="0"/>
    <w:rPr>
      <w:rFonts w:ascii="宋体" w:hAnsi="宋体" w:eastAsia="宋体"/>
      <w:color w:val="5E5E5E"/>
      <w:sz w:val="18"/>
      <w:szCs w:val="18"/>
      <w:lang w:val="en-US" w:eastAsia="zh-CN" w:bidi="ar-SA"/>
    </w:rPr>
  </w:style>
  <w:style w:type="paragraph" w:customStyle="1" w:styleId="92">
    <w:name w:val="indent1"/>
    <w:basedOn w:val="1"/>
    <w:link w:val="91"/>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93">
    <w:name w:val="font01"/>
    <w:autoRedefine/>
    <w:qFormat/>
    <w:uiPriority w:val="0"/>
    <w:rPr>
      <w:rFonts w:hint="default" w:ascii="Times New Roman" w:hAnsi="Times New Roman" w:cs="Times New Roman"/>
      <w:color w:val="000000"/>
      <w:sz w:val="20"/>
      <w:szCs w:val="20"/>
    </w:rPr>
  </w:style>
  <w:style w:type="character" w:customStyle="1" w:styleId="94">
    <w:name w:val="lineitems1"/>
    <w:autoRedefine/>
    <w:qFormat/>
    <w:uiPriority w:val="0"/>
    <w:rPr>
      <w:sz w:val="17"/>
      <w:szCs w:val="17"/>
    </w:rPr>
  </w:style>
  <w:style w:type="character" w:customStyle="1" w:styleId="95">
    <w:name w:val="HTML 预设格式 Char"/>
    <w:link w:val="45"/>
    <w:autoRedefine/>
    <w:qFormat/>
    <w:uiPriority w:val="99"/>
    <w:rPr>
      <w:rFonts w:ascii="Arial Unicode MS" w:hAnsi="Arial Unicode MS" w:eastAsia="Courier New" w:cs="Courier New"/>
    </w:rPr>
  </w:style>
  <w:style w:type="character" w:customStyle="1" w:styleId="96">
    <w:name w:val="批注文字 Char"/>
    <w:link w:val="18"/>
    <w:autoRedefine/>
    <w:qFormat/>
    <w:uiPriority w:val="0"/>
    <w:rPr>
      <w:kern w:val="2"/>
      <w:sz w:val="21"/>
      <w:szCs w:val="24"/>
    </w:rPr>
  </w:style>
  <w:style w:type="character" w:customStyle="1" w:styleId="97">
    <w:name w:val="页脚 Char"/>
    <w:link w:val="30"/>
    <w:autoRedefine/>
    <w:qFormat/>
    <w:uiPriority w:val="99"/>
    <w:rPr>
      <w:rFonts w:eastAsia="宋体"/>
      <w:kern w:val="2"/>
      <w:sz w:val="18"/>
      <w:szCs w:val="18"/>
      <w:lang w:val="en-US" w:eastAsia="zh-CN" w:bidi="ar-SA"/>
    </w:rPr>
  </w:style>
  <w:style w:type="character" w:customStyle="1" w:styleId="98">
    <w:name w:val="style51"/>
    <w:autoRedefine/>
    <w:qFormat/>
    <w:uiPriority w:val="0"/>
    <w:rPr>
      <w:color w:val="000000"/>
      <w:sz w:val="18"/>
      <w:szCs w:val="18"/>
    </w:rPr>
  </w:style>
  <w:style w:type="character" w:customStyle="1" w:styleId="99">
    <w:name w:val="location"/>
    <w:basedOn w:val="54"/>
    <w:autoRedefine/>
    <w:qFormat/>
    <w:uiPriority w:val="0"/>
  </w:style>
  <w:style w:type="character" w:customStyle="1" w:styleId="100">
    <w:name w:val="标题 3 Char"/>
    <w:link w:val="4"/>
    <w:autoRedefine/>
    <w:qFormat/>
    <w:uiPriority w:val="0"/>
    <w:rPr>
      <w:rFonts w:eastAsia="宋体"/>
      <w:b/>
      <w:kern w:val="2"/>
      <w:sz w:val="32"/>
      <w:lang w:val="en-US" w:eastAsia="zh-CN" w:bidi="ar-SA"/>
    </w:rPr>
  </w:style>
  <w:style w:type="character" w:customStyle="1" w:styleId="101">
    <w:name w:val="font51"/>
    <w:autoRedefine/>
    <w:qFormat/>
    <w:uiPriority w:val="0"/>
    <w:rPr>
      <w:rFonts w:hint="eastAsia" w:ascii="宋体" w:hAnsi="宋体" w:eastAsia="宋体" w:cs="宋体"/>
      <w:color w:val="000000"/>
      <w:sz w:val="18"/>
      <w:szCs w:val="18"/>
      <w:u w:val="none"/>
    </w:rPr>
  </w:style>
  <w:style w:type="character" w:customStyle="1" w:styleId="102">
    <w:name w:val="l151"/>
    <w:basedOn w:val="54"/>
    <w:autoRedefine/>
    <w:qFormat/>
    <w:uiPriority w:val="0"/>
  </w:style>
  <w:style w:type="character" w:customStyle="1" w:styleId="103">
    <w:name w:val="font41"/>
    <w:autoRedefine/>
    <w:qFormat/>
    <w:uiPriority w:val="0"/>
    <w:rPr>
      <w:rFonts w:hint="eastAsia" w:ascii="宋体" w:hAnsi="宋体" w:eastAsia="宋体" w:cs="宋体"/>
      <w:color w:val="FF0000"/>
      <w:sz w:val="21"/>
      <w:szCs w:val="21"/>
      <w:u w:val="none"/>
    </w:rPr>
  </w:style>
  <w:style w:type="character" w:customStyle="1" w:styleId="104">
    <w:name w:val="H2 Char"/>
    <w:autoRedefine/>
    <w:qFormat/>
    <w:uiPriority w:val="0"/>
    <w:rPr>
      <w:rFonts w:ascii="Arial" w:hAnsi="Arial" w:eastAsia="黑体"/>
      <w:b/>
      <w:kern w:val="2"/>
      <w:sz w:val="32"/>
      <w:lang w:val="en-US" w:eastAsia="zh-CN" w:bidi="ar-SA"/>
    </w:rPr>
  </w:style>
  <w:style w:type="character" w:customStyle="1" w:styleId="105">
    <w:name w:val="不明显参考1"/>
    <w:autoRedefine/>
    <w:qFormat/>
    <w:uiPriority w:val="31"/>
    <w:rPr>
      <w:smallCaps/>
      <w:color w:val="C0504D"/>
      <w:u w:val="single"/>
    </w:rPr>
  </w:style>
  <w:style w:type="character" w:customStyle="1" w:styleId="106">
    <w:name w:val="纯文本 Char"/>
    <w:link w:val="25"/>
    <w:autoRedefine/>
    <w:qFormat/>
    <w:uiPriority w:val="0"/>
    <w:rPr>
      <w:rFonts w:ascii="宋体" w:hAnsi="Courier New" w:eastAsia="宋体"/>
      <w:kern w:val="2"/>
      <w:sz w:val="21"/>
      <w:lang w:val="en-US" w:eastAsia="zh-CN" w:bidi="ar-SA"/>
    </w:rPr>
  </w:style>
  <w:style w:type="character" w:customStyle="1" w:styleId="107">
    <w:name w:val="批注文字 Char1"/>
    <w:autoRedefine/>
    <w:qFormat/>
    <w:uiPriority w:val="0"/>
    <w:rPr>
      <w:kern w:val="2"/>
      <w:sz w:val="21"/>
      <w:szCs w:val="24"/>
    </w:rPr>
  </w:style>
  <w:style w:type="character" w:customStyle="1" w:styleId="108">
    <w:name w:val="Char Char"/>
    <w:autoRedefine/>
    <w:qFormat/>
    <w:uiPriority w:val="0"/>
    <w:rPr>
      <w:kern w:val="2"/>
      <w:sz w:val="18"/>
      <w:szCs w:val="18"/>
    </w:rPr>
  </w:style>
  <w:style w:type="character" w:customStyle="1" w:styleId="109">
    <w:name w:val="纯文本 Char1"/>
    <w:link w:val="110"/>
    <w:autoRedefine/>
    <w:qFormat/>
    <w:uiPriority w:val="0"/>
    <w:rPr>
      <w:rFonts w:ascii="宋体" w:hAnsi="Courier New" w:eastAsia="宋体"/>
      <w:kern w:val="2"/>
      <w:sz w:val="21"/>
      <w:lang w:val="en-US" w:eastAsia="zh-CN" w:bidi="ar-SA"/>
    </w:rPr>
  </w:style>
  <w:style w:type="paragraph" w:customStyle="1" w:styleId="110">
    <w:name w:val="纯文本1"/>
    <w:basedOn w:val="1"/>
    <w:link w:val="109"/>
    <w:autoRedefine/>
    <w:qFormat/>
    <w:uiPriority w:val="0"/>
    <w:rPr>
      <w:rFonts w:ascii="宋体" w:hAnsi="Courier New"/>
      <w:szCs w:val="20"/>
    </w:rPr>
  </w:style>
  <w:style w:type="character" w:customStyle="1" w:styleId="111">
    <w:name w:val="text1"/>
    <w:autoRedefine/>
    <w:qFormat/>
    <w:uiPriority w:val="0"/>
    <w:rPr>
      <w:color w:val="000000"/>
      <w:sz w:val="20"/>
      <w:szCs w:val="20"/>
    </w:rPr>
  </w:style>
  <w:style w:type="character" w:customStyle="1" w:styleId="112">
    <w:name w:val="f141"/>
    <w:autoRedefine/>
    <w:qFormat/>
    <w:uiPriority w:val="0"/>
    <w:rPr>
      <w:sz w:val="21"/>
      <w:szCs w:val="21"/>
    </w:rPr>
  </w:style>
  <w:style w:type="character" w:customStyle="1" w:styleId="113">
    <w:name w:val="font11"/>
    <w:autoRedefine/>
    <w:qFormat/>
    <w:uiPriority w:val="0"/>
    <w:rPr>
      <w:rFonts w:hint="eastAsia" w:ascii="微软雅黑" w:hAnsi="微软雅黑" w:eastAsia="微软雅黑" w:cs="微软雅黑"/>
      <w:b/>
      <w:color w:val="000000"/>
      <w:sz w:val="21"/>
      <w:szCs w:val="21"/>
      <w:u w:val="none"/>
    </w:rPr>
  </w:style>
  <w:style w:type="character" w:customStyle="1" w:styleId="114">
    <w:name w:val="页脚 字符"/>
    <w:autoRedefine/>
    <w:qFormat/>
    <w:uiPriority w:val="99"/>
  </w:style>
  <w:style w:type="character" w:customStyle="1" w:styleId="115">
    <w:name w:val="font31"/>
    <w:autoRedefine/>
    <w:qFormat/>
    <w:uiPriority w:val="0"/>
    <w:rPr>
      <w:rFonts w:hint="eastAsia" w:ascii="宋体" w:hAnsi="宋体" w:eastAsia="宋体" w:cs="宋体"/>
      <w:b/>
      <w:color w:val="000000"/>
      <w:sz w:val="21"/>
      <w:szCs w:val="21"/>
      <w:u w:val="none"/>
    </w:rPr>
  </w:style>
  <w:style w:type="character" w:customStyle="1" w:styleId="116">
    <w:name w:val="批注主题 Char"/>
    <w:link w:val="48"/>
    <w:autoRedefine/>
    <w:qFormat/>
    <w:uiPriority w:val="0"/>
    <w:rPr>
      <w:b/>
      <w:bCs/>
      <w:kern w:val="2"/>
      <w:sz w:val="21"/>
      <w:szCs w:val="24"/>
      <w:lang w:bidi="ar-SA"/>
    </w:rPr>
  </w:style>
  <w:style w:type="character" w:customStyle="1" w:styleId="117">
    <w:name w:val="search_content1"/>
    <w:autoRedefine/>
    <w:qFormat/>
    <w:uiPriority w:val="0"/>
    <w:rPr>
      <w:sz w:val="20"/>
      <w:szCs w:val="20"/>
    </w:rPr>
  </w:style>
  <w:style w:type="paragraph" w:customStyle="1" w:styleId="118">
    <w:name w:val="样式 标题 3Level 3 HeadH3Heading 3 - oldh3sect1.2.3Head33l3...1"/>
    <w:basedOn w:val="4"/>
    <w:autoRedefine/>
    <w:qFormat/>
    <w:uiPriority w:val="0"/>
    <w:pPr>
      <w:spacing w:line="413" w:lineRule="auto"/>
      <w:jc w:val="left"/>
      <w:outlineLvl w:val="9"/>
    </w:pPr>
    <w:rPr>
      <w:rFonts w:ascii="宋体" w:hAnsi="宋体"/>
      <w:sz w:val="24"/>
    </w:rPr>
  </w:style>
  <w:style w:type="paragraph" w:customStyle="1" w:styleId="119">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120">
    <w:name w:val="正文列表"/>
    <w:basedOn w:val="1"/>
    <w:autoRedefine/>
    <w:qFormat/>
    <w:uiPriority w:val="0"/>
    <w:pPr>
      <w:spacing w:line="360" w:lineRule="auto"/>
      <w:jc w:val="center"/>
    </w:pPr>
    <w:rPr>
      <w:rFonts w:ascii="宋体" w:hAnsi="宋体"/>
      <w:kern w:val="0"/>
      <w:position w:val="24"/>
      <w:szCs w:val="20"/>
    </w:rPr>
  </w:style>
  <w:style w:type="paragraph" w:customStyle="1" w:styleId="121">
    <w:name w:val="默认段落字体 Para Char"/>
    <w:basedOn w:val="1"/>
    <w:autoRedefine/>
    <w:qFormat/>
    <w:uiPriority w:val="0"/>
    <w:pPr>
      <w:tabs>
        <w:tab w:val="left" w:pos="360"/>
      </w:tabs>
      <w:ind w:left="420" w:hanging="420"/>
    </w:pPr>
    <w:rPr>
      <w:sz w:val="24"/>
    </w:rPr>
  </w:style>
  <w:style w:type="paragraph" w:customStyle="1" w:styleId="122">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23">
    <w:name w:val="列出段落 Char Char"/>
    <w:basedOn w:val="1"/>
    <w:autoRedefine/>
    <w:qFormat/>
    <w:uiPriority w:val="0"/>
    <w:pPr>
      <w:ind w:firstLine="420" w:firstLineChars="200"/>
    </w:pPr>
    <w:rPr>
      <w:szCs w:val="20"/>
    </w:rPr>
  </w:style>
  <w:style w:type="paragraph" w:customStyle="1" w:styleId="124">
    <w:name w:val="无间隔1"/>
    <w:next w:val="1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126">
    <w:name w:val="编号1"/>
    <w:basedOn w:val="1"/>
    <w:autoRedefine/>
    <w:qFormat/>
    <w:uiPriority w:val="0"/>
    <w:pPr>
      <w:tabs>
        <w:tab w:val="left" w:pos="1344"/>
      </w:tabs>
      <w:spacing w:line="360" w:lineRule="auto"/>
      <w:outlineLvl w:val="0"/>
    </w:pPr>
    <w:rPr>
      <w:rFonts w:ascii="宋体" w:hAnsi="宋体"/>
      <w:sz w:val="24"/>
      <w:szCs w:val="20"/>
    </w:rPr>
  </w:style>
  <w:style w:type="paragraph" w:customStyle="1" w:styleId="127">
    <w:name w:val="Char2 Char Char Char Char Char Char"/>
    <w:basedOn w:val="1"/>
    <w:autoRedefine/>
    <w:qFormat/>
    <w:uiPriority w:val="0"/>
    <w:rPr>
      <w:rFonts w:ascii="仿宋_GB2312"/>
      <w:b/>
      <w:sz w:val="30"/>
      <w:szCs w:val="32"/>
    </w:rPr>
  </w:style>
  <w:style w:type="paragraph" w:customStyle="1" w:styleId="128">
    <w:name w:val="样式 USE 1 + 行距: 单倍行距"/>
    <w:basedOn w:val="129"/>
    <w:autoRedefine/>
    <w:qFormat/>
    <w:uiPriority w:val="0"/>
    <w:pPr>
      <w:tabs>
        <w:tab w:val="left" w:pos="435"/>
      </w:tabs>
      <w:spacing w:line="180" w:lineRule="atLeast"/>
      <w:ind w:left="435" w:hanging="435"/>
    </w:pPr>
  </w:style>
  <w:style w:type="paragraph" w:customStyle="1" w:styleId="129">
    <w:name w:val="USE 1"/>
    <w:basedOn w:val="1"/>
    <w:autoRedefine/>
    <w:qFormat/>
    <w:uiPriority w:val="0"/>
    <w:pPr>
      <w:spacing w:line="200" w:lineRule="atLeast"/>
      <w:jc w:val="left"/>
    </w:pPr>
    <w:rPr>
      <w:rFonts w:ascii="宋体" w:hAnsi="宋体"/>
      <w:b/>
      <w:sz w:val="24"/>
      <w:szCs w:val="20"/>
    </w:rPr>
  </w:style>
  <w:style w:type="paragraph" w:customStyle="1" w:styleId="130">
    <w:name w:val="Char Char Char Char"/>
    <w:basedOn w:val="1"/>
    <w:autoRedefine/>
    <w:qFormat/>
    <w:uiPriority w:val="0"/>
    <w:rPr>
      <w:rFonts w:ascii="Tahoma" w:hAnsi="Tahoma"/>
      <w:sz w:val="24"/>
      <w:szCs w:val="20"/>
    </w:rPr>
  </w:style>
  <w:style w:type="paragraph" w:customStyle="1" w:styleId="131">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132">
    <w:name w:val="xl81"/>
    <w:basedOn w:val="1"/>
    <w:autoRedefine/>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133">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134">
    <w:name w:val="样式 标题 3Level 3 HeadH3Heading 3 - oldh3sect1.2.3Head33l3..."/>
    <w:basedOn w:val="4"/>
    <w:autoRedefine/>
    <w:qFormat/>
    <w:uiPriority w:val="0"/>
    <w:pPr>
      <w:spacing w:line="300" w:lineRule="auto"/>
      <w:jc w:val="left"/>
      <w:outlineLvl w:val="9"/>
    </w:pPr>
    <w:rPr>
      <w:rFonts w:ascii="宋体" w:hAnsi="宋体"/>
      <w:sz w:val="28"/>
    </w:rPr>
  </w:style>
  <w:style w:type="paragraph" w:customStyle="1" w:styleId="135">
    <w:name w:val="标题2 + 居中"/>
    <w:basedOn w:val="2"/>
    <w:autoRedefine/>
    <w:qFormat/>
    <w:uiPriority w:val="0"/>
    <w:pPr>
      <w:spacing w:before="0" w:after="0"/>
    </w:pPr>
    <w:rPr>
      <w:b w:val="0"/>
      <w:bCs/>
      <w:szCs w:val="44"/>
    </w:rPr>
  </w:style>
  <w:style w:type="paragraph" w:customStyle="1" w:styleId="136">
    <w:name w:val="表头"/>
    <w:basedOn w:val="1"/>
    <w:autoRedefine/>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137">
    <w:name w:val="正文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38">
    <w:name w:val="_Style 8"/>
    <w:basedOn w:val="1"/>
    <w:autoRedefine/>
    <w:qFormat/>
    <w:uiPriority w:val="0"/>
    <w:pPr>
      <w:widowControl/>
      <w:spacing w:after="160" w:line="240" w:lineRule="exact"/>
      <w:jc w:val="left"/>
    </w:pPr>
  </w:style>
  <w:style w:type="paragraph" w:customStyle="1" w:styleId="139">
    <w:name w:val="默认段落字体 Para Char Char Char Char Char Char Char Char Char Char"/>
    <w:basedOn w:val="16"/>
    <w:autoRedefine/>
    <w:qFormat/>
    <w:uiPriority w:val="0"/>
    <w:rPr>
      <w:rFonts w:ascii="Tahoma" w:hAnsi="Tahoma"/>
      <w:sz w:val="24"/>
      <w:szCs w:val="20"/>
    </w:rPr>
  </w:style>
  <w:style w:type="paragraph" w:customStyle="1" w:styleId="140">
    <w:name w:val="默认段落字体 Para Char Char Char Char"/>
    <w:basedOn w:val="1"/>
    <w:autoRedefine/>
    <w:qFormat/>
    <w:uiPriority w:val="0"/>
    <w:rPr>
      <w:szCs w:val="20"/>
    </w:rPr>
  </w:style>
  <w:style w:type="paragraph" w:customStyle="1" w:styleId="141">
    <w:name w:val="样式 样式 样式 样式 标题 2 + 宋体 五号 非加粗 黑色 + 段前: 6 磅 段后: 0 磅 行距: 单倍行距 + 段前:..."/>
    <w:basedOn w:val="1"/>
    <w:autoRedefine/>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142">
    <w:name w:val="font6"/>
    <w:basedOn w:val="1"/>
    <w:autoRedefine/>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143">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144">
    <w:name w:val="Char1"/>
    <w:basedOn w:val="16"/>
    <w:autoRedefine/>
    <w:qFormat/>
    <w:uiPriority w:val="0"/>
    <w:rPr>
      <w:rFonts w:ascii="Tahoma" w:hAnsi="Tahoma"/>
      <w:sz w:val="24"/>
    </w:rPr>
  </w:style>
  <w:style w:type="paragraph" w:customStyle="1" w:styleId="145">
    <w:name w:val="样式 标题 2H2Heading 2 HiddenHeading 2 CCBS2nd levelh22Header..."/>
    <w:basedOn w:val="3"/>
    <w:autoRedefine/>
    <w:qFormat/>
    <w:uiPriority w:val="0"/>
    <w:pPr>
      <w:spacing w:before="200" w:after="200" w:line="415" w:lineRule="auto"/>
      <w:jc w:val="both"/>
    </w:pPr>
    <w:rPr>
      <w:rFonts w:ascii="宋体" w:hAnsi="宋体" w:cs="宋体"/>
      <w:bCs/>
      <w:sz w:val="21"/>
    </w:rPr>
  </w:style>
  <w:style w:type="paragraph" w:customStyle="1" w:styleId="146">
    <w:name w:val="保留正文"/>
    <w:basedOn w:val="15"/>
    <w:autoRedefine/>
    <w:qFormat/>
    <w:uiPriority w:val="0"/>
    <w:pPr>
      <w:keepNext/>
      <w:spacing w:after="160"/>
    </w:pPr>
  </w:style>
  <w:style w:type="paragraph" w:customStyle="1" w:styleId="147">
    <w:name w:val="样式 2册标题2 + 段前: 0.5 行 段后: 0.5 行"/>
    <w:basedOn w:val="148"/>
    <w:autoRedefine/>
    <w:qFormat/>
    <w:uiPriority w:val="0"/>
    <w:pPr>
      <w:spacing w:beforeLines="0" w:afterLines="0" w:line="240" w:lineRule="auto"/>
    </w:pPr>
    <w:rPr>
      <w:sz w:val="32"/>
    </w:rPr>
  </w:style>
  <w:style w:type="paragraph" w:customStyle="1" w:styleId="148">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paragraph" w:customStyle="1" w:styleId="149">
    <w:name w:val="正文 A"/>
    <w:autoRedefine/>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50">
    <w:name w:val="Char1 Char Char Char Char Char Char"/>
    <w:basedOn w:val="1"/>
    <w:autoRedefine/>
    <w:qFormat/>
    <w:uiPriority w:val="0"/>
    <w:rPr>
      <w:rFonts w:ascii="Tahoma" w:hAnsi="Tahoma"/>
      <w:sz w:val="24"/>
      <w:szCs w:val="20"/>
    </w:rPr>
  </w:style>
  <w:style w:type="paragraph" w:customStyle="1" w:styleId="151">
    <w:name w:val="Char2 Char Char Char"/>
    <w:basedOn w:val="1"/>
    <w:autoRedefine/>
    <w:qFormat/>
    <w:uiPriority w:val="0"/>
    <w:rPr>
      <w:rFonts w:ascii="仿宋_GB2312"/>
      <w:b/>
      <w:sz w:val="30"/>
      <w:szCs w:val="32"/>
    </w:rPr>
  </w:style>
  <w:style w:type="paragraph" w:customStyle="1" w:styleId="152">
    <w:name w:val="样式 (中文) 仿宋_GB2312 四号 行距: 多倍行距 1.25 字行1"/>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153">
    <w:name w:val="我的征文"/>
    <w:basedOn w:val="1"/>
    <w:autoRedefine/>
    <w:qFormat/>
    <w:uiPriority w:val="0"/>
    <w:pPr>
      <w:tabs>
        <w:tab w:val="left" w:pos="851"/>
      </w:tabs>
      <w:spacing w:before="360" w:after="360"/>
      <w:ind w:left="851" w:right="113" w:hanging="851"/>
    </w:pPr>
  </w:style>
  <w:style w:type="paragraph" w:customStyle="1" w:styleId="154">
    <w:name w:val="文章副标题"/>
    <w:basedOn w:val="1"/>
    <w:next w:val="1"/>
    <w:autoRedefine/>
    <w:qFormat/>
    <w:uiPriority w:val="0"/>
    <w:pPr>
      <w:widowControl/>
      <w:spacing w:before="187" w:after="175" w:line="1870" w:lineRule="atLeast"/>
      <w:jc w:val="center"/>
      <w:textAlignment w:val="baseline"/>
    </w:pPr>
    <w:rPr>
      <w:color w:val="000000"/>
      <w:kern w:val="0"/>
      <w:sz w:val="36"/>
    </w:rPr>
  </w:style>
  <w:style w:type="paragraph" w:customStyle="1" w:styleId="155">
    <w:name w:val="样式4"/>
    <w:basedOn w:val="30"/>
    <w:next w:val="30"/>
    <w:autoRedefine/>
    <w:qFormat/>
    <w:uiPriority w:val="0"/>
    <w:rPr>
      <w:kern w:val="0"/>
      <w:szCs w:val="20"/>
    </w:rPr>
  </w:style>
  <w:style w:type="paragraph" w:customStyle="1" w:styleId="156">
    <w:name w:val="Char"/>
    <w:basedOn w:val="16"/>
    <w:autoRedefine/>
    <w:qFormat/>
    <w:uiPriority w:val="0"/>
    <w:rPr>
      <w:rFonts w:ascii="Tahoma" w:hAnsi="Tahoma"/>
      <w:sz w:val="24"/>
      <w:szCs w:val="20"/>
    </w:rPr>
  </w:style>
  <w:style w:type="paragraph" w:customStyle="1" w:styleId="157">
    <w:name w:val="xl32"/>
    <w:basedOn w:val="1"/>
    <w:autoRedefine/>
    <w:qFormat/>
    <w:uiPriority w:val="0"/>
    <w:pPr>
      <w:widowControl/>
      <w:pBdr>
        <w:bottom w:val="single" w:color="auto" w:sz="4" w:space="0"/>
      </w:pBdr>
      <w:spacing w:before="100" w:after="100"/>
      <w:jc w:val="center"/>
    </w:pPr>
    <w:rPr>
      <w:rFonts w:ascii="宋体" w:hAnsi="宋体"/>
      <w:kern w:val="0"/>
      <w:sz w:val="24"/>
    </w:rPr>
  </w:style>
  <w:style w:type="paragraph" w:customStyle="1" w:styleId="158">
    <w:name w:val="USE 3"/>
    <w:basedOn w:val="1"/>
    <w:autoRedefine/>
    <w:qFormat/>
    <w:uiPriority w:val="0"/>
    <w:pPr>
      <w:tabs>
        <w:tab w:val="left" w:pos="720"/>
      </w:tabs>
      <w:spacing w:line="360" w:lineRule="auto"/>
      <w:ind w:left="720" w:hanging="720"/>
      <w:jc w:val="left"/>
    </w:pPr>
    <w:rPr>
      <w:rFonts w:ascii="宋体" w:hAnsi="宋体"/>
      <w:sz w:val="24"/>
      <w:szCs w:val="20"/>
    </w:rPr>
  </w:style>
  <w:style w:type="paragraph" w:customStyle="1" w:styleId="159">
    <w:name w:val="CM16"/>
    <w:basedOn w:val="1"/>
    <w:next w:val="1"/>
    <w:autoRedefine/>
    <w:qFormat/>
    <w:uiPriority w:val="0"/>
    <w:pPr>
      <w:autoSpaceDE w:val="0"/>
      <w:autoSpaceDN w:val="0"/>
      <w:adjustRightInd w:val="0"/>
      <w:spacing w:after="163"/>
      <w:jc w:val="left"/>
    </w:pPr>
    <w:rPr>
      <w:rFonts w:ascii="INMAB J+ Univers" w:eastAsia="INMAB J+ Univers"/>
      <w:kern w:val="0"/>
      <w:sz w:val="24"/>
    </w:rPr>
  </w:style>
  <w:style w:type="paragraph" w:customStyle="1" w:styleId="160">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61">
    <w:name w:val="封面上部"/>
    <w:basedOn w:val="1"/>
    <w:autoRedefine/>
    <w:qFormat/>
    <w:uiPriority w:val="0"/>
    <w:pPr>
      <w:adjustRightInd w:val="0"/>
      <w:spacing w:line="360" w:lineRule="auto"/>
      <w:jc w:val="center"/>
      <w:textAlignment w:val="baseline"/>
    </w:pPr>
    <w:rPr>
      <w:rFonts w:ascii="Arial" w:eastAsia="黑体"/>
      <w:kern w:val="0"/>
      <w:sz w:val="32"/>
      <w:szCs w:val="20"/>
    </w:rPr>
  </w:style>
  <w:style w:type="paragraph" w:customStyle="1" w:styleId="162">
    <w:name w:val="样式 标题 2标题 1.1H2Heading 2 HiddenHeading 2 CCBSheading 2第一章 ...1"/>
    <w:basedOn w:val="3"/>
    <w:autoRedefine/>
    <w:qFormat/>
    <w:uiPriority w:val="0"/>
    <w:pPr>
      <w:numPr>
        <w:numId w:val="0"/>
      </w:numPr>
      <w:spacing w:before="156" w:after="156"/>
      <w:jc w:val="both"/>
      <w:outlineLvl w:val="9"/>
    </w:pPr>
    <w:rPr>
      <w:kern w:val="0"/>
      <w:sz w:val="21"/>
    </w:rPr>
  </w:style>
  <w:style w:type="paragraph" w:customStyle="1" w:styleId="163">
    <w:name w:val="样式 (西文) 宋体 行距: 1.5 倍行距"/>
    <w:basedOn w:val="1"/>
    <w:autoRedefine/>
    <w:qFormat/>
    <w:uiPriority w:val="0"/>
    <w:pPr>
      <w:spacing w:line="360" w:lineRule="auto"/>
    </w:pPr>
    <w:rPr>
      <w:rFonts w:ascii="宋体" w:hAnsi="宋体"/>
      <w:szCs w:val="20"/>
    </w:rPr>
  </w:style>
  <w:style w:type="paragraph" w:customStyle="1" w:styleId="164">
    <w:name w:val="USE 2"/>
    <w:basedOn w:val="1"/>
    <w:autoRedefine/>
    <w:qFormat/>
    <w:uiPriority w:val="0"/>
    <w:pPr>
      <w:tabs>
        <w:tab w:val="left" w:pos="360"/>
      </w:tabs>
      <w:spacing w:line="360" w:lineRule="auto"/>
      <w:ind w:left="360" w:hanging="360"/>
      <w:jc w:val="left"/>
    </w:pPr>
    <w:rPr>
      <w:rFonts w:ascii="宋体" w:hAnsi="宋体"/>
      <w:sz w:val="24"/>
      <w:szCs w:val="20"/>
    </w:rPr>
  </w:style>
  <w:style w:type="paragraph" w:customStyle="1" w:styleId="165">
    <w:name w:val="USE 5"/>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166">
    <w:name w:val="p0"/>
    <w:basedOn w:val="1"/>
    <w:autoRedefine/>
    <w:qFormat/>
    <w:uiPriority w:val="0"/>
    <w:pPr>
      <w:widowControl/>
    </w:pPr>
    <w:rPr>
      <w:rFonts w:hint="eastAsia" w:ascii="宋体" w:hAnsi="宋体"/>
      <w:kern w:val="0"/>
      <w:szCs w:val="21"/>
    </w:rPr>
  </w:style>
  <w:style w:type="paragraph" w:customStyle="1" w:styleId="167">
    <w:name w:val="表格内容"/>
    <w:next w:val="1"/>
    <w:autoRedefine/>
    <w:qFormat/>
    <w:uiPriority w:val="0"/>
    <w:pPr>
      <w:widowControl w:val="0"/>
      <w:adjustRightInd w:val="0"/>
      <w:snapToGrid w:val="0"/>
      <w:ind w:left="-108"/>
      <w:jc w:val="center"/>
      <w:textAlignment w:val="center"/>
    </w:pPr>
    <w:rPr>
      <w:rFonts w:ascii="Calibri" w:hAnsi="Calibri" w:eastAsia="仿宋_GB2312" w:cs="Times New Roman"/>
      <w:sz w:val="18"/>
      <w:lang w:val="en-US" w:eastAsia="zh-CN" w:bidi="ar-SA"/>
    </w:rPr>
  </w:style>
  <w:style w:type="paragraph" w:customStyle="1" w:styleId="168">
    <w:name w:val="Char Char Char Char Char Char"/>
    <w:basedOn w:val="1"/>
    <w:autoRedefine/>
    <w:qFormat/>
    <w:uiPriority w:val="0"/>
    <w:pPr>
      <w:widowControl/>
      <w:spacing w:after="160" w:line="240" w:lineRule="exact"/>
      <w:jc w:val="left"/>
    </w:pPr>
    <w:rPr>
      <w:szCs w:val="20"/>
    </w:rPr>
  </w:style>
  <w:style w:type="paragraph" w:customStyle="1" w:styleId="169">
    <w:name w:val="样式 标题 2 + 宋体 五号 行距: 单倍行距"/>
    <w:basedOn w:val="3"/>
    <w:autoRedefine/>
    <w:qFormat/>
    <w:uiPriority w:val="0"/>
    <w:pPr>
      <w:numPr>
        <w:numId w:val="0"/>
      </w:numPr>
      <w:tabs>
        <w:tab w:val="left" w:pos="405"/>
        <w:tab w:val="clear" w:pos="420"/>
        <w:tab w:val="clear" w:pos="840"/>
      </w:tabs>
      <w:adjustRightInd w:val="0"/>
      <w:spacing w:line="240" w:lineRule="auto"/>
      <w:ind w:left="720"/>
      <w:jc w:val="left"/>
      <w:textAlignment w:val="baseline"/>
    </w:pPr>
    <w:rPr>
      <w:rFonts w:ascii="宋体" w:hAnsi="宋体"/>
      <w:kern w:val="0"/>
      <w:sz w:val="21"/>
    </w:rPr>
  </w:style>
  <w:style w:type="paragraph" w:customStyle="1" w:styleId="170">
    <w:name w:val="USE 4"/>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171">
    <w:name w:val="样式 标题 3Level 3 HeadH3Heading 3 - oldh3sect1.2.3Head33l3...2"/>
    <w:basedOn w:val="4"/>
    <w:autoRedefine/>
    <w:qFormat/>
    <w:uiPriority w:val="0"/>
    <w:pPr>
      <w:spacing w:before="120" w:after="120" w:line="413" w:lineRule="auto"/>
      <w:jc w:val="center"/>
      <w:outlineLvl w:val="9"/>
    </w:pPr>
    <w:rPr>
      <w:rFonts w:ascii="宋体" w:hAnsi="宋体"/>
      <w:sz w:val="28"/>
    </w:rPr>
  </w:style>
  <w:style w:type="paragraph" w:customStyle="1" w:styleId="172">
    <w:name w:val="maint"/>
    <w:basedOn w:val="1"/>
    <w:autoRedefine/>
    <w:qFormat/>
    <w:uiPriority w:val="0"/>
    <w:pPr>
      <w:widowControl/>
      <w:jc w:val="left"/>
    </w:pPr>
    <w:rPr>
      <w:rFonts w:ascii="宋体" w:hAnsi="宋体" w:cs="宋体"/>
      <w:kern w:val="0"/>
      <w:sz w:val="24"/>
    </w:rPr>
  </w:style>
  <w:style w:type="paragraph" w:customStyle="1" w:styleId="173">
    <w:name w:val="Char Char Char Char Char Char Char Char Char"/>
    <w:basedOn w:val="16"/>
    <w:autoRedefine/>
    <w:qFormat/>
    <w:uiPriority w:val="0"/>
    <w:pPr>
      <w:jc w:val="left"/>
    </w:pPr>
    <w:rPr>
      <w:rFonts w:ascii="Tahoma" w:hAnsi="Tahoma"/>
      <w:sz w:val="24"/>
      <w:szCs w:val="20"/>
    </w:rPr>
  </w:style>
  <w:style w:type="paragraph" w:customStyle="1" w:styleId="174">
    <w:name w:val="Numbered list 2.3"/>
    <w:basedOn w:val="4"/>
    <w:next w:val="1"/>
    <w:autoRedefine/>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bCs/>
      <w:iCs/>
      <w:kern w:val="0"/>
      <w:sz w:val="28"/>
      <w:szCs w:val="24"/>
    </w:rPr>
  </w:style>
  <w:style w:type="paragraph" w:customStyle="1" w:styleId="175">
    <w:name w:val="font7"/>
    <w:basedOn w:val="1"/>
    <w:autoRedefine/>
    <w:qFormat/>
    <w:uiPriority w:val="0"/>
    <w:pPr>
      <w:widowControl/>
      <w:spacing w:before="100" w:beforeAutospacing="1" w:after="100" w:afterAutospacing="1"/>
      <w:jc w:val="left"/>
    </w:pPr>
    <w:rPr>
      <w:kern w:val="0"/>
      <w:sz w:val="22"/>
      <w:szCs w:val="22"/>
    </w:rPr>
  </w:style>
  <w:style w:type="paragraph" w:customStyle="1" w:styleId="176">
    <w:name w:val="Table Paragraph"/>
    <w:basedOn w:val="1"/>
    <w:autoRedefine/>
    <w:qFormat/>
    <w:uiPriority w:val="1"/>
    <w:pPr>
      <w:autoSpaceDE w:val="0"/>
      <w:autoSpaceDN w:val="0"/>
      <w:spacing w:line="360" w:lineRule="auto"/>
      <w:jc w:val="left"/>
    </w:pPr>
    <w:rPr>
      <w:rFonts w:ascii="宋体" w:hAnsi="宋体" w:cs="宋体"/>
      <w:kern w:val="0"/>
      <w:sz w:val="24"/>
      <w:szCs w:val="22"/>
      <w:lang w:val="zh-CN" w:bidi="zh-CN"/>
    </w:rPr>
  </w:style>
  <w:style w:type="paragraph" w:customStyle="1" w:styleId="177">
    <w:name w:val="Char2"/>
    <w:basedOn w:val="1"/>
    <w:autoRedefine/>
    <w:qFormat/>
    <w:uiPriority w:val="0"/>
    <w:pPr>
      <w:widowControl/>
      <w:spacing w:after="160" w:line="240" w:lineRule="exact"/>
      <w:ind w:firstLine="400" w:firstLineChars="200"/>
    </w:pPr>
    <w:rPr>
      <w:rFonts w:ascii="Verdana" w:hAnsi="Verdana"/>
      <w:kern w:val="0"/>
      <w:sz w:val="20"/>
      <w:szCs w:val="20"/>
      <w:lang w:eastAsia="en-US"/>
    </w:rPr>
  </w:style>
  <w:style w:type="paragraph" w:customStyle="1" w:styleId="17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179">
    <w:name w:val="标准1 段落"/>
    <w:basedOn w:val="1"/>
    <w:autoRedefine/>
    <w:qFormat/>
    <w:uiPriority w:val="0"/>
    <w:pPr>
      <w:tabs>
        <w:tab w:val="left" w:pos="360"/>
      </w:tabs>
      <w:spacing w:beforeLines="50" w:line="360" w:lineRule="auto"/>
      <w:ind w:left="360" w:hanging="360"/>
    </w:pPr>
    <w:rPr>
      <w:sz w:val="24"/>
    </w:rPr>
  </w:style>
  <w:style w:type="paragraph" w:customStyle="1" w:styleId="180">
    <w:name w:val="正文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81">
    <w:name w:val="xl36"/>
    <w:basedOn w:val="1"/>
    <w:autoRedefine/>
    <w:qFormat/>
    <w:uiPriority w:val="0"/>
    <w:pPr>
      <w:widowControl/>
      <w:spacing w:before="100" w:after="100"/>
      <w:jc w:val="center"/>
    </w:pPr>
    <w:rPr>
      <w:rFonts w:ascii="宋体" w:hAnsi="宋体"/>
      <w:kern w:val="0"/>
      <w:sz w:val="24"/>
      <w:szCs w:val="20"/>
    </w:rPr>
  </w:style>
  <w:style w:type="paragraph" w:customStyle="1" w:styleId="182">
    <w:name w:val="Char Char Char"/>
    <w:basedOn w:val="1"/>
    <w:autoRedefine/>
    <w:qFormat/>
    <w:uiPriority w:val="0"/>
    <w:rPr>
      <w:rFonts w:ascii="Tahoma" w:hAnsi="Tahoma"/>
      <w:sz w:val="24"/>
      <w:szCs w:val="20"/>
    </w:rPr>
  </w:style>
  <w:style w:type="paragraph" w:customStyle="1" w:styleId="183">
    <w:name w:val="正文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表段落1"/>
    <w:basedOn w:val="1"/>
    <w:autoRedefine/>
    <w:qFormat/>
    <w:uiPriority w:val="0"/>
    <w:pPr>
      <w:ind w:firstLine="420" w:firstLineChars="200"/>
    </w:pPr>
  </w:style>
  <w:style w:type="paragraph" w:customStyle="1" w:styleId="185">
    <w:name w:val="编号二"/>
    <w:basedOn w:val="1"/>
    <w:autoRedefine/>
    <w:qFormat/>
    <w:uiPriority w:val="0"/>
    <w:rPr>
      <w:szCs w:val="20"/>
    </w:rPr>
  </w:style>
  <w:style w:type="paragraph" w:customStyle="1" w:styleId="186">
    <w:name w:val="样式 正文文本缩进 2封面3 +"/>
    <w:basedOn w:val="28"/>
    <w:autoRedefine/>
    <w:qFormat/>
    <w:uiPriority w:val="0"/>
    <w:pPr>
      <w:adjustRightInd w:val="0"/>
      <w:snapToGrid w:val="0"/>
      <w:spacing w:before="100" w:beforeAutospacing="1" w:after="100" w:afterAutospacing="1" w:line="400" w:lineRule="atLeast"/>
      <w:ind w:left="0"/>
    </w:pPr>
    <w:rPr>
      <w:rFonts w:hAnsi="宋体" w:cs="宋体"/>
      <w:color w:val="000000"/>
    </w:rPr>
  </w:style>
  <w:style w:type="paragraph" w:customStyle="1" w:styleId="187">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88">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89">
    <w:name w:val="样式 行距: 1.5 倍行距"/>
    <w:basedOn w:val="1"/>
    <w:autoRedefine/>
    <w:qFormat/>
    <w:uiPriority w:val="0"/>
    <w:pPr>
      <w:spacing w:line="360" w:lineRule="auto"/>
    </w:pPr>
    <w:rPr>
      <w:rFonts w:ascii="宋体" w:hAnsi="宋体"/>
      <w:szCs w:val="20"/>
    </w:rPr>
  </w:style>
  <w:style w:type="paragraph" w:customStyle="1" w:styleId="190">
    <w:name w:val="标题 31"/>
    <w:basedOn w:val="1"/>
    <w:autoRedefine/>
    <w:qFormat/>
    <w:uiPriority w:val="0"/>
    <w:pPr>
      <w:widowControl/>
      <w:jc w:val="left"/>
    </w:pPr>
    <w:rPr>
      <w:kern w:val="0"/>
      <w:sz w:val="20"/>
      <w:szCs w:val="20"/>
    </w:rPr>
  </w:style>
  <w:style w:type="paragraph" w:customStyle="1" w:styleId="191">
    <w:name w:val="正文11"/>
    <w:basedOn w:val="1"/>
    <w:autoRedefine/>
    <w:qFormat/>
    <w:uiPriority w:val="0"/>
    <w:pPr>
      <w:spacing w:line="360" w:lineRule="auto"/>
      <w:ind w:left="1260" w:leftChars="600" w:firstLine="540" w:firstLineChars="257"/>
    </w:pPr>
    <w:rPr>
      <w:rFonts w:ascii="宋体" w:hAnsi="宋体"/>
    </w:rPr>
  </w:style>
  <w:style w:type="paragraph" w:customStyle="1" w:styleId="192">
    <w:name w:val="样式 宋体 行距: 1.5 倍行距"/>
    <w:basedOn w:val="1"/>
    <w:autoRedefine/>
    <w:qFormat/>
    <w:uiPriority w:val="0"/>
    <w:pPr>
      <w:tabs>
        <w:tab w:val="left" w:pos="360"/>
        <w:tab w:val="left" w:pos="420"/>
      </w:tabs>
      <w:ind w:left="360" w:hanging="360"/>
    </w:pPr>
    <w:rPr>
      <w:szCs w:val="20"/>
    </w:rPr>
  </w:style>
  <w:style w:type="paragraph" w:customStyle="1" w:styleId="193">
    <w:name w:val="style50"/>
    <w:basedOn w:val="1"/>
    <w:autoRedefine/>
    <w:qFormat/>
    <w:uiPriority w:val="0"/>
    <w:pPr>
      <w:widowControl/>
      <w:spacing w:before="75" w:after="75" w:line="384" w:lineRule="auto"/>
      <w:jc w:val="left"/>
    </w:pPr>
    <w:rPr>
      <w:rFonts w:ascii="黑体" w:hAnsi="宋体" w:eastAsia="黑体" w:cs="宋体"/>
      <w:kern w:val="0"/>
      <w:sz w:val="24"/>
    </w:rPr>
  </w:style>
  <w:style w:type="paragraph" w:customStyle="1" w:styleId="194">
    <w:name w:val="样式 标题 2标题 1.1H2Heading 2 HiddenHeading 2 CCBSheading 2第一章 ..."/>
    <w:basedOn w:val="3"/>
    <w:autoRedefine/>
    <w:qFormat/>
    <w:uiPriority w:val="0"/>
    <w:pPr>
      <w:numPr>
        <w:numId w:val="0"/>
      </w:numPr>
      <w:spacing w:before="312" w:after="312" w:line="240" w:lineRule="auto"/>
      <w:ind w:firstLine="562" w:firstLineChars="200"/>
    </w:pPr>
    <w:rPr>
      <w:kern w:val="0"/>
      <w:sz w:val="28"/>
    </w:rPr>
  </w:style>
  <w:style w:type="paragraph" w:customStyle="1" w:styleId="195">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196">
    <w:name w:val="Char Char Char1"/>
    <w:basedOn w:val="16"/>
    <w:autoRedefine/>
    <w:qFormat/>
    <w:uiPriority w:val="0"/>
    <w:rPr>
      <w:rFonts w:ascii="Tahoma" w:hAnsi="Tahoma"/>
      <w:sz w:val="24"/>
    </w:rPr>
  </w:style>
  <w:style w:type="paragraph" w:customStyle="1" w:styleId="197">
    <w:name w:val="样式1"/>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98">
    <w:name w:val="xl37"/>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199">
    <w:name w:val="样式 USE 2 + 行距: 单倍行距"/>
    <w:basedOn w:val="164"/>
    <w:autoRedefine/>
    <w:qFormat/>
    <w:uiPriority w:val="0"/>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201">
    <w:name w:val="Char11"/>
    <w:basedOn w:val="16"/>
    <w:autoRedefine/>
    <w:qFormat/>
    <w:uiPriority w:val="0"/>
    <w:rPr>
      <w:rFonts w:ascii="Tahoma" w:hAnsi="Tahoma"/>
      <w:sz w:val="24"/>
      <w:szCs w:val="20"/>
    </w:rPr>
  </w:style>
  <w:style w:type="paragraph" w:customStyle="1" w:styleId="202">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203">
    <w:name w:val="Char2 Char Char Char Char Char Char1"/>
    <w:basedOn w:val="1"/>
    <w:autoRedefine/>
    <w:qFormat/>
    <w:uiPriority w:val="0"/>
    <w:rPr>
      <w:rFonts w:ascii="仿宋_GB2312"/>
      <w:b/>
      <w:sz w:val="30"/>
      <w:szCs w:val="32"/>
    </w:rPr>
  </w:style>
  <w:style w:type="paragraph" w:customStyle="1" w:styleId="204">
    <w:name w:val="默认段落"/>
    <w:basedOn w:val="1"/>
    <w:autoRedefine/>
    <w:qFormat/>
    <w:uiPriority w:val="0"/>
    <w:pPr>
      <w:spacing w:after="120" w:line="360" w:lineRule="auto"/>
      <w:ind w:firstLine="480" w:firstLineChars="200"/>
    </w:pPr>
    <w:rPr>
      <w:sz w:val="24"/>
      <w:szCs w:val="20"/>
    </w:rPr>
  </w:style>
  <w:style w:type="paragraph" w:customStyle="1" w:styleId="205">
    <w:name w:val="注"/>
    <w:basedOn w:val="122"/>
    <w:autoRedefine/>
    <w:qFormat/>
    <w:uiPriority w:val="0"/>
    <w:rPr>
      <w:rFonts w:ascii="长城楷体" w:eastAsia="长城楷体"/>
      <w:sz w:val="21"/>
    </w:rPr>
  </w:style>
  <w:style w:type="paragraph" w:customStyle="1" w:styleId="206">
    <w:name w:val="样式 段后: 3 磅 行距: 1.5 倍行距"/>
    <w:basedOn w:val="1"/>
    <w:autoRedefine/>
    <w:qFormat/>
    <w:uiPriority w:val="0"/>
    <w:pPr>
      <w:spacing w:after="60" w:line="360" w:lineRule="auto"/>
    </w:pPr>
    <w:rPr>
      <w:szCs w:val="20"/>
    </w:rPr>
  </w:style>
  <w:style w:type="paragraph" w:customStyle="1" w:styleId="207">
    <w:name w:val="2册标题3"/>
    <w:basedOn w:val="1"/>
    <w:next w:val="1"/>
    <w:autoRedefine/>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208">
    <w:name w:val="样式 宋体 一号 加粗 居中 行距: 最小值 25 磅"/>
    <w:basedOn w:val="1"/>
    <w:autoRedefine/>
    <w:qFormat/>
    <w:uiPriority w:val="0"/>
    <w:pPr>
      <w:spacing w:line="500" w:lineRule="atLeast"/>
      <w:jc w:val="center"/>
    </w:pPr>
    <w:rPr>
      <w:rFonts w:ascii="宋体" w:hAnsi="宋体"/>
      <w:b/>
      <w:sz w:val="52"/>
      <w:szCs w:val="20"/>
    </w:rPr>
  </w:style>
  <w:style w:type="paragraph" w:customStyle="1" w:styleId="209">
    <w:name w:val="表格文字"/>
    <w:basedOn w:val="1"/>
    <w:autoRedefine/>
    <w:qFormat/>
    <w:uiPriority w:val="0"/>
    <w:pPr>
      <w:spacing w:line="360" w:lineRule="auto"/>
      <w:jc w:val="left"/>
    </w:pPr>
    <w:rPr>
      <w:szCs w:val="21"/>
    </w:rPr>
  </w:style>
  <w:style w:type="paragraph" w:customStyle="1" w:styleId="210">
    <w:name w:val="xl25"/>
    <w:basedOn w:val="1"/>
    <w:autoRedefine/>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211">
    <w:name w:val="目录"/>
    <w:basedOn w:val="1"/>
    <w:next w:val="122"/>
    <w:autoRedefine/>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212">
    <w:name w:val="*正文"/>
    <w:basedOn w:val="1"/>
    <w:autoRedefine/>
    <w:qFormat/>
    <w:uiPriority w:val="0"/>
    <w:pPr>
      <w:spacing w:before="120" w:after="120" w:line="400" w:lineRule="exact"/>
      <w:ind w:firstLine="200" w:firstLineChars="200"/>
    </w:pPr>
    <w:rPr>
      <w:rFonts w:ascii="Times New Roman" w:hAnsi="Times New Roman"/>
      <w:szCs w:val="28"/>
    </w:rPr>
  </w:style>
  <w:style w:type="character" w:customStyle="1" w:styleId="213">
    <w:name w:val="标题 5 Char"/>
    <w:basedOn w:val="54"/>
    <w:link w:val="6"/>
    <w:autoRedefine/>
    <w:qFormat/>
    <w:uiPriority w:val="0"/>
    <w:rPr>
      <w:rFonts w:ascii="Arial" w:hAnsi="Arial"/>
      <w:b/>
      <w:kern w:val="2"/>
      <w:sz w:val="28"/>
    </w:rPr>
  </w:style>
  <w:style w:type="character" w:customStyle="1" w:styleId="214">
    <w:name w:val="正文文本 Char"/>
    <w:basedOn w:val="54"/>
    <w:link w:val="15"/>
    <w:autoRedefine/>
    <w:qFormat/>
    <w:uiPriority w:val="1"/>
    <w:rPr>
      <w:kern w:val="2"/>
      <w:sz w:val="21"/>
      <w:szCs w:val="24"/>
    </w:rPr>
  </w:style>
  <w:style w:type="character" w:customStyle="1" w:styleId="215">
    <w:name w:val="正文缩进 Char1"/>
    <w:link w:val="216"/>
    <w:autoRedefine/>
    <w:qFormat/>
    <w:uiPriority w:val="0"/>
    <w:rPr>
      <w:rFonts w:ascii="宋体"/>
      <w:sz w:val="24"/>
    </w:rPr>
  </w:style>
  <w:style w:type="paragraph" w:customStyle="1" w:styleId="216">
    <w:name w:val="正文缩进1"/>
    <w:basedOn w:val="1"/>
    <w:link w:val="215"/>
    <w:autoRedefine/>
    <w:qFormat/>
    <w:uiPriority w:val="0"/>
    <w:pPr>
      <w:autoSpaceDE w:val="0"/>
      <w:autoSpaceDN w:val="0"/>
      <w:adjustRightInd w:val="0"/>
      <w:ind w:firstLine="420"/>
      <w:jc w:val="left"/>
    </w:pPr>
    <w:rPr>
      <w:rFonts w:ascii="宋体" w:hAnsi="Times New Roman"/>
      <w:kern w:val="0"/>
      <w:sz w:val="24"/>
      <w:szCs w:val="20"/>
    </w:rPr>
  </w:style>
  <w:style w:type="paragraph" w:customStyle="1" w:styleId="217">
    <w:name w:val="索引 11"/>
    <w:basedOn w:val="1"/>
    <w:next w:val="1"/>
    <w:autoRedefine/>
    <w:qFormat/>
    <w:uiPriority w:val="0"/>
    <w:pPr>
      <w:spacing w:line="360" w:lineRule="auto"/>
    </w:pPr>
    <w:rPr>
      <w:rFonts w:ascii="仿宋_GB2312" w:hAnsi="Times New Roman" w:eastAsia="仿宋_GB2312"/>
      <w:sz w:val="24"/>
      <w:szCs w:val="20"/>
    </w:rPr>
  </w:style>
  <w:style w:type="character" w:customStyle="1" w:styleId="218">
    <w:name w:val="hover"/>
    <w:basedOn w:val="54"/>
    <w:autoRedefine/>
    <w:qFormat/>
    <w:uiPriority w:val="0"/>
    <w:rPr>
      <w:color w:val="2590EB"/>
      <w:shd w:val="clear" w:color="auto" w:fill="E9F4FD"/>
    </w:rPr>
  </w:style>
  <w:style w:type="character" w:customStyle="1" w:styleId="219">
    <w:name w:val="hover1"/>
    <w:basedOn w:val="54"/>
    <w:autoRedefine/>
    <w:qFormat/>
    <w:uiPriority w:val="0"/>
  </w:style>
  <w:style w:type="character" w:customStyle="1" w:styleId="220">
    <w:name w:val="hover2"/>
    <w:basedOn w:val="54"/>
    <w:autoRedefine/>
    <w:qFormat/>
    <w:uiPriority w:val="0"/>
    <w:rPr>
      <w:color w:val="2590EB"/>
    </w:rPr>
  </w:style>
  <w:style w:type="character" w:customStyle="1" w:styleId="221">
    <w:name w:val="hover3"/>
    <w:basedOn w:val="54"/>
    <w:autoRedefine/>
    <w:qFormat/>
    <w:uiPriority w:val="0"/>
    <w:rPr>
      <w:color w:val="2590EB"/>
    </w:rPr>
  </w:style>
  <w:style w:type="character" w:customStyle="1" w:styleId="222">
    <w:name w:val="NormalCharacter"/>
    <w:autoRedefine/>
    <w:qFormat/>
    <w:uiPriority w:val="0"/>
    <w:rPr>
      <w:rFonts w:ascii="Times New Roman" w:hAnsi="Times New Roman" w:eastAsia="宋体"/>
    </w:rPr>
  </w:style>
  <w:style w:type="table" w:customStyle="1" w:styleId="223">
    <w:name w:val="Table Normal"/>
    <w:semiHidden/>
    <w:unhideWhenUsed/>
    <w:qFormat/>
    <w:uiPriority w:val="0"/>
    <w:tblPr>
      <w:tblCellMar>
        <w:top w:w="0" w:type="dxa"/>
        <w:left w:w="0" w:type="dxa"/>
        <w:bottom w:w="0" w:type="dxa"/>
        <w:right w:w="0" w:type="dxa"/>
      </w:tblCellMar>
    </w:tblPr>
  </w:style>
  <w:style w:type="paragraph" w:customStyle="1" w:styleId="224">
    <w:name w:val="Table Text"/>
    <w:basedOn w:val="1"/>
    <w:semiHidden/>
    <w:qFormat/>
    <w:uiPriority w:val="0"/>
    <w:rPr>
      <w:rFonts w:ascii="宋体" w:hAnsi="宋体" w:cs="宋体"/>
      <w:szCs w:val="21"/>
      <w:lang w:eastAsia="en-US"/>
    </w:rPr>
  </w:style>
  <w:style w:type="character" w:customStyle="1" w:styleId="225">
    <w:name w:val="标题 2 字符"/>
    <w:autoRedefine/>
    <w:qFormat/>
    <w:locked/>
    <w:uiPriority w:val="99"/>
    <w:rPr>
      <w:rFonts w:ascii="宋体" w:hAnsi="宋体" w:cs="宋体"/>
      <w:b/>
      <w:sz w:val="30"/>
    </w:rPr>
  </w:style>
  <w:style w:type="paragraph" w:customStyle="1" w:styleId="226">
    <w:name w:val="Heading2"/>
    <w:basedOn w:val="1"/>
    <w:next w:val="1"/>
    <w:autoRedefine/>
    <w:qFormat/>
    <w:uiPriority w:val="0"/>
    <w:pPr>
      <w:keepNext/>
      <w:keepLines/>
      <w:jc w:val="center"/>
    </w:pPr>
    <w:rPr>
      <w:rFonts w:ascii="Arial" w:hAnsi="Arial"/>
      <w:b/>
      <w:sz w:val="32"/>
    </w:rPr>
  </w:style>
  <w:style w:type="character" w:customStyle="1" w:styleId="227">
    <w:name w:val="标题 2 Char1"/>
    <w:link w:val="3"/>
    <w:autoRedefine/>
    <w:qFormat/>
    <w:uiPriority w:val="0"/>
    <w:rPr>
      <w:rFonts w:ascii="Arial" w:hAnsi="Arial" w:eastAsia="宋体"/>
      <w:b/>
      <w:sz w:val="24"/>
    </w:rPr>
  </w:style>
  <w:style w:type="paragraph" w:styleId="228">
    <w:name w:val="No Spacing"/>
    <w:basedOn w:val="1"/>
    <w:qFormat/>
    <w:uiPriority w:val="0"/>
    <w:pPr>
      <w:spacing w:before="100" w:beforeAutospacing="1"/>
      <w:ind w:left="249" w:right="720"/>
      <w:jc w:val="center"/>
    </w:pPr>
    <w:rPr>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zczb</Company>
  <Pages>71</Pages>
  <Words>6002</Words>
  <Characters>6702</Characters>
  <Lines>327</Lines>
  <Paragraphs>92</Paragraphs>
  <TotalTime>0</TotalTime>
  <ScaleCrop>false</ScaleCrop>
  <LinksUpToDate>false</LinksUpToDate>
  <CharactersWithSpaces>6905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2024-12-18T08:53:00Z</dcterms:created>
  <dc:creator>Administrator</dc:creator>
  <cp:lastModifiedBy>招标代理</cp:lastModifiedBy>
  <cp:lastPrinted>2024-12-30T01:22:00Z</cp:lastPrinted>
  <dcterms:modified xsi:type="dcterms:W3CDTF">2025-05-16T04:24:17Z</dcterms:modified>
  <dc:subject>招标文件</dc:subject>
  <dc:title>hnszczb</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D1AA341FA4DA4CE3949D1E5349987460_13</vt:lpwstr>
  </property>
  <property fmtid="{D5CDD505-2E9C-101B-9397-08002B2CF9AE}" pid="4" name="KSOTemplateDocerSaveRecord">
    <vt:lpwstr>eyJoZGlkIjoiZjQzMjAzZGIyZWZkMzgyZWM3OGFkNzkwYzU2NGMyODEiLCJ1c2VySWQiOiI0NDMxOTY3NzkifQ==</vt:lpwstr>
  </property>
</Properties>
</file>